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7F1380">
        <w:rPr>
          <w:rFonts w:ascii="Tahoma" w:hAnsi="Tahoma" w:cs="Tahoma"/>
          <w:b/>
          <w:sz w:val="24"/>
          <w:szCs w:val="24"/>
        </w:rPr>
        <w:t>2</w:t>
      </w:r>
      <w:r w:rsidR="00AD26D2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21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AD26D2">
        <w:rPr>
          <w:rFonts w:ascii="Tahoma" w:hAnsi="Tahoma" w:cs="Tahoma"/>
          <w:sz w:val="24"/>
          <w:szCs w:val="24"/>
          <w:lang w:val="sr-Latn-CS"/>
        </w:rPr>
        <w:t>616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</w:t>
      </w:r>
      <w:r w:rsidR="007E1DA9">
        <w:rPr>
          <w:rFonts w:ascii="Tahoma" w:hAnsi="Tahoma" w:cs="Tahoma"/>
          <w:sz w:val="24"/>
          <w:szCs w:val="24"/>
          <w:lang w:val="sr-Latn-CS"/>
        </w:rPr>
        <w:t>3</w:t>
      </w:r>
      <w:r w:rsidR="00BB7DE6">
        <w:rPr>
          <w:rFonts w:ascii="Tahoma" w:hAnsi="Tahoma" w:cs="Tahoma"/>
          <w:sz w:val="24"/>
          <w:szCs w:val="24"/>
          <w:lang w:val="sr-Latn-CS"/>
        </w:rPr>
        <w:t>.0</w:t>
      </w:r>
      <w:r w:rsidR="007E1DA9">
        <w:rPr>
          <w:rFonts w:ascii="Tahoma" w:hAnsi="Tahoma" w:cs="Tahoma"/>
          <w:sz w:val="24"/>
          <w:szCs w:val="24"/>
          <w:lang w:val="sr-Latn-CS"/>
        </w:rPr>
        <w:t>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AD26D2">
        <w:rPr>
          <w:rFonts w:ascii="Tahoma" w:hAnsi="Tahoma" w:cs="Tahoma"/>
          <w:sz w:val="24"/>
          <w:szCs w:val="24"/>
          <w:lang w:val="sr-Latn-CS"/>
        </w:rPr>
        <w:t>616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26D2">
        <w:rPr>
          <w:rFonts w:ascii="Tahoma" w:hAnsi="Tahoma" w:cs="Tahoma"/>
          <w:sz w:val="24"/>
          <w:szCs w:val="24"/>
          <w:lang w:val="sr-Latn-CS"/>
        </w:rPr>
        <w:t xml:space="preserve">pravilnika ili nekog drugog akta na osnovu kojeg je bliže definisan način ostvarivanja kontrole biračkog spiska od strane DIK-a i način ukazivanja MUP-u na </w:t>
      </w:r>
      <w:r w:rsidR="002E46A1">
        <w:rPr>
          <w:rFonts w:ascii="Tahoma" w:hAnsi="Tahoma" w:cs="Tahoma"/>
          <w:sz w:val="24"/>
          <w:szCs w:val="24"/>
          <w:lang w:val="sr-Latn-CS"/>
        </w:rPr>
        <w:t xml:space="preserve">utvrđene </w:t>
      </w:r>
      <w:r w:rsidR="00AD26D2">
        <w:rPr>
          <w:rFonts w:ascii="Tahoma" w:hAnsi="Tahoma" w:cs="Tahoma"/>
          <w:sz w:val="24"/>
          <w:szCs w:val="24"/>
          <w:lang w:val="sr-Latn-CS"/>
        </w:rPr>
        <w:t>nepravilnosti.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709D2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1DA9">
        <w:rPr>
          <w:rFonts w:ascii="Tahoma" w:hAnsi="Tahoma" w:cs="Tahoma"/>
          <w:sz w:val="24"/>
          <w:szCs w:val="24"/>
          <w:lang w:val="sr-Latn-CS"/>
        </w:rPr>
        <w:t>72</w:t>
      </w:r>
      <w:r w:rsidR="00AD26D2">
        <w:rPr>
          <w:rFonts w:ascii="Tahoma" w:hAnsi="Tahoma" w:cs="Tahoma"/>
          <w:sz w:val="24"/>
          <w:szCs w:val="24"/>
          <w:lang w:val="sr-Latn-CS"/>
        </w:rPr>
        <w:t>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AD26D2">
        <w:rPr>
          <w:rFonts w:ascii="Tahoma" w:hAnsi="Tahoma" w:cs="Tahoma"/>
          <w:sz w:val="24"/>
          <w:szCs w:val="24"/>
          <w:lang w:val="sr-Latn-CS"/>
        </w:rPr>
        <w:t>616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5D2DC5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F709D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9734C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734C6" w:rsidRPr="009734C6" w:rsidRDefault="009734C6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734C6" w:rsidRPr="009734C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EC" w:rsidRDefault="006C4DEC" w:rsidP="00CB7F9A">
      <w:pPr>
        <w:spacing w:after="0" w:line="240" w:lineRule="auto"/>
      </w:pPr>
      <w:r>
        <w:separator/>
      </w:r>
    </w:p>
  </w:endnote>
  <w:endnote w:type="continuationSeparator" w:id="0">
    <w:p w:rsidR="006C4DEC" w:rsidRDefault="006C4DE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EC" w:rsidRDefault="006C4DEC" w:rsidP="00CB7F9A">
      <w:pPr>
        <w:spacing w:after="0" w:line="240" w:lineRule="auto"/>
      </w:pPr>
      <w:r>
        <w:separator/>
      </w:r>
    </w:p>
  </w:footnote>
  <w:footnote w:type="continuationSeparator" w:id="0">
    <w:p w:rsidR="006C4DEC" w:rsidRDefault="006C4DE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46A1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DC5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4DEC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34C6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2C6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09D2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0CFC9-E242-4292-94AA-C1E40894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2016-11-13T17:46:00Z</dcterms:modified>
</cp:coreProperties>
</file>