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UP</w:t>
      </w:r>
      <w:r w:rsidR="00264FC4">
        <w:rPr>
          <w:rFonts w:ascii="Tahoma" w:hAnsi="Tahoma" w:cs="Tahoma"/>
          <w:b/>
          <w:sz w:val="24"/>
          <w:szCs w:val="24"/>
        </w:rPr>
        <w:t xml:space="preserve"> II</w:t>
      </w:r>
      <w:r w:rsidR="00ED5F0B">
        <w:rPr>
          <w:rFonts w:ascii="Tahoma" w:hAnsi="Tahoma" w:cs="Tahoma"/>
          <w:b/>
          <w:sz w:val="24"/>
          <w:szCs w:val="24"/>
        </w:rPr>
        <w:t xml:space="preserve"> </w:t>
      </w:r>
      <w:r w:rsidR="007C1794">
        <w:rPr>
          <w:rFonts w:ascii="Tahoma" w:hAnsi="Tahoma" w:cs="Tahoma"/>
          <w:b/>
          <w:sz w:val="24"/>
          <w:szCs w:val="24"/>
        </w:rPr>
        <w:t>2104/15-2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8A6D0E">
        <w:rPr>
          <w:rFonts w:ascii="Tahoma" w:hAnsi="Tahoma" w:cs="Tahoma"/>
          <w:b/>
          <w:sz w:val="24"/>
          <w:szCs w:val="24"/>
        </w:rPr>
        <w:t>08</w:t>
      </w:r>
      <w:r w:rsidR="00FB7A22" w:rsidRPr="00CB7AD5">
        <w:rPr>
          <w:rFonts w:ascii="Tahoma" w:hAnsi="Tahoma" w:cs="Tahoma"/>
          <w:b/>
          <w:sz w:val="24"/>
          <w:szCs w:val="24"/>
        </w:rPr>
        <w:t>.</w:t>
      </w:r>
      <w:r w:rsidR="001C036F">
        <w:rPr>
          <w:rFonts w:ascii="Tahoma" w:hAnsi="Tahoma" w:cs="Tahoma"/>
          <w:b/>
          <w:sz w:val="24"/>
          <w:szCs w:val="24"/>
        </w:rPr>
        <w:t>0</w:t>
      </w:r>
      <w:r w:rsidR="008A6D0E">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180D11">
        <w:rPr>
          <w:rFonts w:ascii="Tahoma" w:hAnsi="Tahoma" w:cs="Tahoma"/>
          <w:sz w:val="24"/>
          <w:szCs w:val="24"/>
        </w:rPr>
        <w:t>56</w:t>
      </w:r>
      <w:r w:rsidR="0069511B">
        <w:rPr>
          <w:rFonts w:ascii="Tahoma" w:hAnsi="Tahoma" w:cs="Tahoma"/>
          <w:sz w:val="24"/>
          <w:szCs w:val="24"/>
        </w:rPr>
        <w:t>575-56592</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D54C6E">
        <w:rPr>
          <w:rFonts w:ascii="Tahoma" w:hAnsi="Tahoma" w:cs="Tahoma"/>
          <w:bCs/>
          <w:color w:val="000000"/>
          <w:sz w:val="24"/>
          <w:szCs w:val="24"/>
        </w:rPr>
        <w:t>08-</w:t>
      </w:r>
      <w:r w:rsidR="00A12D89">
        <w:rPr>
          <w:rFonts w:ascii="Tahoma" w:hAnsi="Tahoma" w:cs="Tahoma"/>
          <w:bCs/>
          <w:color w:val="000000"/>
          <w:sz w:val="24"/>
          <w:szCs w:val="24"/>
        </w:rPr>
        <w:t>5</w:t>
      </w:r>
      <w:r w:rsidR="00D54C6E">
        <w:rPr>
          <w:rFonts w:ascii="Tahoma" w:hAnsi="Tahoma" w:cs="Tahoma"/>
          <w:bCs/>
          <w:color w:val="000000"/>
          <w:sz w:val="24"/>
          <w:szCs w:val="24"/>
        </w:rPr>
        <w:t>-</w:t>
      </w:r>
      <w:r w:rsidR="00A12D89">
        <w:rPr>
          <w:rFonts w:ascii="Tahoma" w:hAnsi="Tahoma" w:cs="Tahoma"/>
          <w:bCs/>
          <w:color w:val="000000"/>
          <w:sz w:val="24"/>
          <w:szCs w:val="24"/>
        </w:rPr>
        <w:t>2</w:t>
      </w:r>
      <w:r w:rsidR="0069511B">
        <w:rPr>
          <w:rFonts w:ascii="Tahoma" w:hAnsi="Tahoma" w:cs="Tahoma"/>
          <w:bCs/>
          <w:color w:val="000000"/>
          <w:sz w:val="24"/>
          <w:szCs w:val="24"/>
        </w:rPr>
        <w:t>99</w:t>
      </w:r>
      <w:r w:rsidR="00D54C6E">
        <w:rPr>
          <w:rFonts w:ascii="Tahoma" w:hAnsi="Tahoma" w:cs="Tahoma"/>
          <w:bCs/>
          <w:color w:val="000000"/>
          <w:sz w:val="24"/>
          <w:szCs w:val="24"/>
        </w:rPr>
        <w:t>/2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08-5-2</w:t>
      </w:r>
      <w:r w:rsidR="0069511B">
        <w:rPr>
          <w:rFonts w:ascii="Tahoma" w:hAnsi="Tahoma" w:cs="Tahoma"/>
          <w:bCs/>
          <w:color w:val="000000"/>
          <w:sz w:val="24"/>
          <w:szCs w:val="24"/>
        </w:rPr>
        <w:t>99</w:t>
      </w:r>
      <w:r w:rsidR="00A12D89" w:rsidRPr="00A12D89">
        <w:rPr>
          <w:rFonts w:ascii="Tahoma" w:hAnsi="Tahoma" w:cs="Tahoma"/>
          <w:bCs/>
          <w:color w:val="000000"/>
          <w:sz w:val="24"/>
          <w:szCs w:val="24"/>
        </w:rPr>
        <w:t xml:space="preserve">/2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7832EB" w:rsidRDefault="006668ED" w:rsidP="00A12D89">
      <w:pPr>
        <w:jc w:val="both"/>
        <w:rPr>
          <w:rFonts w:ascii="Tahoma" w:hAnsi="Tahoma" w:cs="Tahoma"/>
          <w:sz w:val="24"/>
          <w:szCs w:val="24"/>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180D11">
        <w:rPr>
          <w:rFonts w:ascii="Tahoma" w:hAnsi="Tahoma" w:cs="Tahoma"/>
          <w:sz w:val="24"/>
          <w:szCs w:val="24"/>
        </w:rPr>
        <w:t>56</w:t>
      </w:r>
      <w:r w:rsidR="0069511B">
        <w:rPr>
          <w:rFonts w:ascii="Tahoma" w:hAnsi="Tahoma" w:cs="Tahoma"/>
          <w:sz w:val="24"/>
          <w:szCs w:val="24"/>
        </w:rPr>
        <w:t>575-56592</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A12D89">
        <w:rPr>
          <w:rFonts w:ascii="Tahoma" w:hAnsi="Tahoma" w:cs="Tahoma"/>
          <w:sz w:val="24"/>
          <w:szCs w:val="24"/>
        </w:rPr>
        <w:t>24</w:t>
      </w:r>
      <w:r w:rsidR="00EE33E7">
        <w:rPr>
          <w:rFonts w:ascii="Tahoma" w:hAnsi="Tahoma" w:cs="Tahoma"/>
          <w:sz w:val="24"/>
          <w:szCs w:val="24"/>
        </w:rPr>
        <w:t>.10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44318C">
        <w:rPr>
          <w:rFonts w:ascii="Tahoma" w:hAnsi="Tahoma" w:cs="Tahoma"/>
          <w:sz w:val="24"/>
          <w:szCs w:val="24"/>
        </w:rPr>
        <w:t>s</w:t>
      </w:r>
      <w:r w:rsidR="00EE33E7">
        <w:rPr>
          <w:rFonts w:ascii="Tahoma" w:hAnsi="Tahoma" w:cs="Tahoma"/>
          <w:sz w:val="24"/>
          <w:szCs w:val="24"/>
        </w:rPr>
        <w:t>vih rasho</w:t>
      </w:r>
      <w:r w:rsidR="007E632A">
        <w:rPr>
          <w:rFonts w:ascii="Tahoma" w:hAnsi="Tahoma" w:cs="Tahoma"/>
          <w:sz w:val="24"/>
          <w:szCs w:val="24"/>
        </w:rPr>
        <w:t>da realizovanih za čitavu 2012.</w:t>
      </w:r>
      <w:r w:rsidR="00EE33E7">
        <w:rPr>
          <w:rFonts w:ascii="Tahoma" w:hAnsi="Tahoma" w:cs="Tahoma"/>
          <w:sz w:val="24"/>
          <w:szCs w:val="24"/>
        </w:rPr>
        <w:t>godinu (pojedinačno po svrhama sa opisima konta, svrhama doznaka, primaocima, datumima odobrenja i datumima plaćanja, te ukupnim</w:t>
      </w:r>
      <w:r w:rsidR="007832EB">
        <w:rPr>
          <w:rFonts w:ascii="Tahoma" w:hAnsi="Tahoma" w:cs="Tahoma"/>
          <w:sz w:val="24"/>
          <w:szCs w:val="24"/>
        </w:rPr>
        <w:t xml:space="preserve"> saldom) sa budžetske pozicije: </w:t>
      </w:r>
      <w:r w:rsidR="0069511B">
        <w:rPr>
          <w:rFonts w:ascii="Tahoma" w:hAnsi="Tahoma" w:cs="Tahoma"/>
          <w:sz w:val="24"/>
          <w:szCs w:val="24"/>
        </w:rPr>
        <w:t>Ministarstvo kulture</w:t>
      </w:r>
      <w:r w:rsidR="00EE33E7">
        <w:rPr>
          <w:rFonts w:ascii="Tahoma" w:hAnsi="Tahoma" w:cs="Tahoma"/>
          <w:sz w:val="24"/>
          <w:szCs w:val="24"/>
        </w:rPr>
        <w:t>; Program</w:t>
      </w:r>
      <w:r w:rsidR="0069511B">
        <w:rPr>
          <w:rFonts w:ascii="Tahoma" w:hAnsi="Tahoma" w:cs="Tahoma"/>
          <w:sz w:val="24"/>
          <w:szCs w:val="24"/>
        </w:rPr>
        <w:t>:</w:t>
      </w:r>
      <w:r w:rsidR="007832EB">
        <w:rPr>
          <w:rFonts w:ascii="Tahoma" w:hAnsi="Tahoma" w:cs="Tahoma"/>
          <w:sz w:val="24"/>
          <w:szCs w:val="24"/>
        </w:rPr>
        <w:t xml:space="preserve"> </w:t>
      </w:r>
      <w:r w:rsidR="0069511B">
        <w:rPr>
          <w:rFonts w:ascii="Tahoma" w:hAnsi="Tahoma" w:cs="Tahoma"/>
          <w:sz w:val="24"/>
          <w:szCs w:val="24"/>
        </w:rPr>
        <w:t>Kulturno umjetničko stvaralaštvo</w:t>
      </w:r>
      <w:r w:rsidR="00EE33E7">
        <w:rPr>
          <w:rFonts w:ascii="Tahoma" w:hAnsi="Tahoma" w:cs="Tahoma"/>
          <w:sz w:val="24"/>
          <w:szCs w:val="24"/>
        </w:rPr>
        <w:t xml:space="preserve">; Funkcionalna klasifikacija: </w:t>
      </w:r>
      <w:r w:rsidR="0069511B">
        <w:rPr>
          <w:rFonts w:ascii="Tahoma" w:hAnsi="Tahoma" w:cs="Tahoma"/>
          <w:sz w:val="24"/>
          <w:szCs w:val="24"/>
        </w:rPr>
        <w:t>0830</w:t>
      </w:r>
      <w:r w:rsidR="00A12D89">
        <w:rPr>
          <w:rFonts w:ascii="Tahoma" w:hAnsi="Tahoma" w:cs="Tahoma"/>
          <w:sz w:val="24"/>
          <w:szCs w:val="24"/>
        </w:rPr>
        <w:t xml:space="preserve">; Ekonomska klasifikacija: </w:t>
      </w:r>
      <w:r w:rsidR="0069511B">
        <w:rPr>
          <w:rFonts w:ascii="Tahoma" w:hAnsi="Tahoma" w:cs="Tahoma"/>
          <w:sz w:val="24"/>
          <w:szCs w:val="24"/>
        </w:rPr>
        <w:t>4129</w:t>
      </w:r>
      <w:r w:rsidR="007832EB">
        <w:rPr>
          <w:rFonts w:ascii="Tahoma" w:hAnsi="Tahoma" w:cs="Tahoma"/>
          <w:sz w:val="24"/>
          <w:szCs w:val="24"/>
        </w:rPr>
        <w:t>;</w:t>
      </w:r>
      <w:r w:rsidR="00EE33E7">
        <w:rPr>
          <w:rFonts w:ascii="Tahoma" w:hAnsi="Tahoma" w:cs="Tahoma"/>
          <w:sz w:val="24"/>
          <w:szCs w:val="24"/>
        </w:rPr>
        <w:t xml:space="preserve">Opis: </w:t>
      </w:r>
      <w:r w:rsidR="0069511B">
        <w:rPr>
          <w:rFonts w:ascii="Tahoma" w:hAnsi="Tahoma" w:cs="Tahoma"/>
          <w:sz w:val="24"/>
          <w:szCs w:val="24"/>
        </w:rPr>
        <w:t>Ostale naknade; Svih rasho</w:t>
      </w:r>
      <w:r w:rsidR="007E632A">
        <w:rPr>
          <w:rFonts w:ascii="Tahoma" w:hAnsi="Tahoma" w:cs="Tahoma"/>
          <w:sz w:val="24"/>
          <w:szCs w:val="24"/>
        </w:rPr>
        <w:t>da realizovanih za čitavu 2012.</w:t>
      </w:r>
      <w:r w:rsidR="0069511B">
        <w:rPr>
          <w:rFonts w:ascii="Tahoma" w:hAnsi="Tahoma" w:cs="Tahoma"/>
          <w:sz w:val="24"/>
          <w:szCs w:val="24"/>
        </w:rPr>
        <w:t>godinu (pojedinačno po svrhama sa opisima konta, svrhama doznaka, primaocima, datumima odobrenja i datumima plaćanja, te ukupnim saldom) sa budžetske pozicije: Ministarstvo kulture; Program:</w:t>
      </w:r>
      <w:r w:rsidR="007832EB">
        <w:rPr>
          <w:rFonts w:ascii="Tahoma" w:hAnsi="Tahoma" w:cs="Tahoma"/>
          <w:sz w:val="24"/>
          <w:szCs w:val="24"/>
        </w:rPr>
        <w:t xml:space="preserve"> </w:t>
      </w:r>
      <w:r w:rsidR="0069511B">
        <w:rPr>
          <w:rFonts w:ascii="Tahoma" w:hAnsi="Tahoma" w:cs="Tahoma"/>
          <w:sz w:val="24"/>
          <w:szCs w:val="24"/>
        </w:rPr>
        <w:t>Kulturno umjetničko stvaralaštvo; Funkcionalna klasifikacija: 0830; Ekonomska klasifikacija: 4139; Opis: Ugovorene usluge; Svih rasho</w:t>
      </w:r>
      <w:r w:rsidR="007E632A">
        <w:rPr>
          <w:rFonts w:ascii="Tahoma" w:hAnsi="Tahoma" w:cs="Tahoma"/>
          <w:sz w:val="24"/>
          <w:szCs w:val="24"/>
        </w:rPr>
        <w:t>da realizovanih za čitavu 2012.</w:t>
      </w:r>
      <w:r w:rsidR="0069511B">
        <w:rPr>
          <w:rFonts w:ascii="Tahoma" w:hAnsi="Tahoma" w:cs="Tahoma"/>
          <w:sz w:val="24"/>
          <w:szCs w:val="24"/>
        </w:rPr>
        <w:t>godinu (pojedinačno po svrhama sa opisima konta, svrhama doznaka, primaocima, datumima odobrenja i datumima plaćanja, te ukupnim saldom) sa budžetske pozicije: Ministarstvo kulture; Program:</w:t>
      </w:r>
      <w:r w:rsidR="007832EB">
        <w:rPr>
          <w:rFonts w:ascii="Tahoma" w:hAnsi="Tahoma" w:cs="Tahoma"/>
          <w:sz w:val="24"/>
          <w:szCs w:val="24"/>
        </w:rPr>
        <w:t xml:space="preserve"> </w:t>
      </w:r>
      <w:r w:rsidR="0069511B">
        <w:rPr>
          <w:rFonts w:ascii="Tahoma" w:hAnsi="Tahoma" w:cs="Tahoma"/>
          <w:sz w:val="24"/>
          <w:szCs w:val="24"/>
        </w:rPr>
        <w:t>Kulturno umjetničko stvaralaštvo</w:t>
      </w:r>
      <w:r w:rsidR="007832EB">
        <w:rPr>
          <w:rFonts w:ascii="Tahoma" w:hAnsi="Tahoma" w:cs="Tahoma"/>
          <w:sz w:val="24"/>
          <w:szCs w:val="24"/>
        </w:rPr>
        <w:t>; Funkcionalna klasifikacija:</w:t>
      </w:r>
      <w:r w:rsidR="0069511B">
        <w:rPr>
          <w:rFonts w:ascii="Tahoma" w:hAnsi="Tahoma" w:cs="Tahoma"/>
          <w:sz w:val="24"/>
          <w:szCs w:val="24"/>
        </w:rPr>
        <w:t>0830</w:t>
      </w:r>
      <w:r w:rsidR="007832EB">
        <w:rPr>
          <w:rFonts w:ascii="Tahoma" w:hAnsi="Tahoma" w:cs="Tahoma"/>
          <w:sz w:val="24"/>
          <w:szCs w:val="24"/>
        </w:rPr>
        <w:t>; Ekonomska klasifikacija:</w:t>
      </w:r>
      <w:r w:rsidR="0069511B">
        <w:rPr>
          <w:rFonts w:ascii="Tahoma" w:hAnsi="Tahoma" w:cs="Tahoma"/>
          <w:sz w:val="24"/>
          <w:szCs w:val="24"/>
        </w:rPr>
        <w:t>4313</w:t>
      </w:r>
      <w:r w:rsidR="007832EB">
        <w:rPr>
          <w:rFonts w:ascii="Tahoma" w:hAnsi="Tahoma" w:cs="Tahoma"/>
          <w:sz w:val="24"/>
          <w:szCs w:val="24"/>
        </w:rPr>
        <w:t>; Opis:</w:t>
      </w:r>
      <w:r w:rsidR="0069511B">
        <w:rPr>
          <w:rFonts w:ascii="Tahoma" w:hAnsi="Tahoma" w:cs="Tahoma"/>
          <w:sz w:val="24"/>
          <w:szCs w:val="24"/>
        </w:rPr>
        <w:t>Transferi pojedincima; Svih rasho</w:t>
      </w:r>
      <w:r w:rsidR="007E632A">
        <w:rPr>
          <w:rFonts w:ascii="Tahoma" w:hAnsi="Tahoma" w:cs="Tahoma"/>
          <w:sz w:val="24"/>
          <w:szCs w:val="24"/>
        </w:rPr>
        <w:t>da realizovanih za čitavu 2012.</w:t>
      </w:r>
      <w:r w:rsidR="0069511B">
        <w:rPr>
          <w:rFonts w:ascii="Tahoma" w:hAnsi="Tahoma" w:cs="Tahoma"/>
          <w:sz w:val="24"/>
          <w:szCs w:val="24"/>
        </w:rPr>
        <w:t xml:space="preserve">godinu (pojedinačno po svrhama sa opisima konta, svrhama doznaka, primaocima, datumima odobrenja i datumima plaćanja, te ukupnim saldom) sa budžetske pozicije: Ministarstvo kulture; </w:t>
      </w:r>
      <w:r w:rsidR="0069511B">
        <w:rPr>
          <w:rFonts w:ascii="Tahoma" w:hAnsi="Tahoma" w:cs="Tahoma"/>
          <w:sz w:val="24"/>
          <w:szCs w:val="24"/>
        </w:rPr>
        <w:lastRenderedPageBreak/>
        <w:t>Program:</w:t>
      </w:r>
      <w:r w:rsidR="007832EB">
        <w:rPr>
          <w:rFonts w:ascii="Tahoma" w:hAnsi="Tahoma" w:cs="Tahoma"/>
          <w:sz w:val="24"/>
          <w:szCs w:val="24"/>
        </w:rPr>
        <w:t xml:space="preserve"> </w:t>
      </w:r>
      <w:r w:rsidR="0069511B">
        <w:rPr>
          <w:rFonts w:ascii="Tahoma" w:hAnsi="Tahoma" w:cs="Tahoma"/>
          <w:sz w:val="24"/>
          <w:szCs w:val="24"/>
        </w:rPr>
        <w:t>Podrška razvoju medijskog pluralizma; Funkcionalna klasifikacija: 0830; Ekonomska klasifikacija: 4129; Opis: Ostale naknade; Svih rasho</w:t>
      </w:r>
      <w:r w:rsidR="007E632A">
        <w:rPr>
          <w:rFonts w:ascii="Tahoma" w:hAnsi="Tahoma" w:cs="Tahoma"/>
          <w:sz w:val="24"/>
          <w:szCs w:val="24"/>
        </w:rPr>
        <w:t>da realizovanih za čitavu 2012.</w:t>
      </w:r>
      <w:r w:rsidR="0069511B">
        <w:rPr>
          <w:rFonts w:ascii="Tahoma" w:hAnsi="Tahoma" w:cs="Tahoma"/>
          <w:sz w:val="24"/>
          <w:szCs w:val="24"/>
        </w:rPr>
        <w:t>godinu (pojedinačno po svrhama sa opisima konta, svrhama doznaka, primaocima, datumima odobrenja i datumima plaćanja, te ukupnim saldom) sa budžetske pozicije: Ministarstvo kulture; Program:</w:t>
      </w:r>
      <w:r w:rsidR="007832EB">
        <w:rPr>
          <w:rFonts w:ascii="Tahoma" w:hAnsi="Tahoma" w:cs="Tahoma"/>
          <w:sz w:val="24"/>
          <w:szCs w:val="24"/>
        </w:rPr>
        <w:t xml:space="preserve"> </w:t>
      </w:r>
      <w:r w:rsidR="0069511B">
        <w:rPr>
          <w:rFonts w:ascii="Tahoma" w:hAnsi="Tahoma" w:cs="Tahoma"/>
          <w:sz w:val="24"/>
          <w:szCs w:val="24"/>
        </w:rPr>
        <w:t xml:space="preserve">Podrška razvoju medijskog pluralizma; Funkcionalna klasifikacija: </w:t>
      </w:r>
      <w:r w:rsidR="00A722F5">
        <w:rPr>
          <w:rFonts w:ascii="Tahoma" w:hAnsi="Tahoma" w:cs="Tahoma"/>
          <w:sz w:val="24"/>
          <w:szCs w:val="24"/>
        </w:rPr>
        <w:t>082</w:t>
      </w:r>
      <w:r w:rsidR="0069511B">
        <w:rPr>
          <w:rFonts w:ascii="Tahoma" w:hAnsi="Tahoma" w:cs="Tahoma"/>
          <w:sz w:val="24"/>
          <w:szCs w:val="24"/>
        </w:rPr>
        <w:t>0; Ekonomska klasifikacija: 4139; Opis: Ugovorene usluge; Svih rasho</w:t>
      </w:r>
      <w:r w:rsidR="007E632A">
        <w:rPr>
          <w:rFonts w:ascii="Tahoma" w:hAnsi="Tahoma" w:cs="Tahoma"/>
          <w:sz w:val="24"/>
          <w:szCs w:val="24"/>
        </w:rPr>
        <w:t>da realizovanih za čitavu 2012.</w:t>
      </w:r>
      <w:r w:rsidR="0069511B">
        <w:rPr>
          <w:rFonts w:ascii="Tahoma" w:hAnsi="Tahoma" w:cs="Tahoma"/>
          <w:sz w:val="24"/>
          <w:szCs w:val="24"/>
        </w:rPr>
        <w:t>godinu (pojedinačno po svrhama sa opisima konta, svrhama doznaka, primaocima, datumima odobrenja i datumima plaćanja, te ukupnim saldom) sa budžetske pozicije: Ministarstvo kulture; Program:</w:t>
      </w:r>
      <w:r w:rsidR="007832EB">
        <w:rPr>
          <w:rFonts w:ascii="Tahoma" w:hAnsi="Tahoma" w:cs="Tahoma"/>
          <w:sz w:val="24"/>
          <w:szCs w:val="24"/>
        </w:rPr>
        <w:t xml:space="preserve"> </w:t>
      </w:r>
      <w:r w:rsidR="00A722F5">
        <w:rPr>
          <w:rFonts w:ascii="Tahoma" w:hAnsi="Tahoma" w:cs="Tahoma"/>
          <w:sz w:val="24"/>
          <w:szCs w:val="24"/>
        </w:rPr>
        <w:t>Podrška razvoju medijskog pluralizma</w:t>
      </w:r>
      <w:r w:rsidR="0069511B">
        <w:rPr>
          <w:rFonts w:ascii="Tahoma" w:hAnsi="Tahoma" w:cs="Tahoma"/>
          <w:sz w:val="24"/>
          <w:szCs w:val="24"/>
        </w:rPr>
        <w:t xml:space="preserve">; Funkcionalna klasifikacija: </w:t>
      </w:r>
      <w:r w:rsidR="00A722F5">
        <w:rPr>
          <w:rFonts w:ascii="Tahoma" w:hAnsi="Tahoma" w:cs="Tahoma"/>
          <w:sz w:val="24"/>
          <w:szCs w:val="24"/>
        </w:rPr>
        <w:t>082</w:t>
      </w:r>
      <w:r w:rsidR="0069511B">
        <w:rPr>
          <w:rFonts w:ascii="Tahoma" w:hAnsi="Tahoma" w:cs="Tahoma"/>
          <w:sz w:val="24"/>
          <w:szCs w:val="24"/>
        </w:rPr>
        <w:t>0; Ekonomska klasifikacija: 4</w:t>
      </w:r>
      <w:r w:rsidR="00A722F5">
        <w:rPr>
          <w:rFonts w:ascii="Tahoma" w:hAnsi="Tahoma" w:cs="Tahoma"/>
          <w:sz w:val="24"/>
          <w:szCs w:val="24"/>
        </w:rPr>
        <w:t>311</w:t>
      </w:r>
      <w:r w:rsidR="0069511B">
        <w:rPr>
          <w:rFonts w:ascii="Tahoma" w:hAnsi="Tahoma" w:cs="Tahoma"/>
          <w:sz w:val="24"/>
          <w:szCs w:val="24"/>
        </w:rPr>
        <w:t xml:space="preserve">; Opis: </w:t>
      </w:r>
      <w:r w:rsidR="00A722F5">
        <w:rPr>
          <w:rFonts w:ascii="Tahoma" w:hAnsi="Tahoma" w:cs="Tahoma"/>
          <w:sz w:val="24"/>
          <w:szCs w:val="24"/>
        </w:rPr>
        <w:t>Transferi javnim institucijama;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Program:Podrška razvoju medijskog pluralizma; Funkcionalna klasifikacija: 0820; Ekonomska klasifikacija: 4313; Opis: Transferi pojedincima;</w:t>
      </w:r>
      <w:r w:rsidR="007832EB">
        <w:rPr>
          <w:rFonts w:ascii="Tahoma" w:hAnsi="Tahoma" w:cs="Tahoma"/>
          <w:sz w:val="24"/>
          <w:szCs w:val="24"/>
        </w:rPr>
        <w:t xml:space="preserve"> Svih rasho</w:t>
      </w:r>
      <w:r w:rsidR="007E632A">
        <w:rPr>
          <w:rFonts w:ascii="Tahoma" w:hAnsi="Tahoma" w:cs="Tahoma"/>
          <w:sz w:val="24"/>
          <w:szCs w:val="24"/>
        </w:rPr>
        <w:t>da realizovanih za čitavu 2012.</w:t>
      </w:r>
      <w:r w:rsidR="007832EB">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4129;Opis: Ostale naknade;</w:t>
      </w:r>
      <w:r w:rsidR="00A722F5">
        <w:rPr>
          <w:rFonts w:ascii="Tahoma" w:hAnsi="Tahoma" w:cs="Tahoma"/>
          <w:sz w:val="24"/>
          <w:szCs w:val="24"/>
        </w:rPr>
        <w:t xml:space="preserve"> Svih rasho</w:t>
      </w:r>
      <w:r w:rsidR="007E632A">
        <w:rPr>
          <w:rFonts w:ascii="Tahoma" w:hAnsi="Tahoma" w:cs="Tahoma"/>
          <w:sz w:val="24"/>
          <w:szCs w:val="24"/>
        </w:rPr>
        <w:t>da realizovanih za čitavu 2012.</w:t>
      </w:r>
      <w:r w:rsidR="00A722F5">
        <w:rPr>
          <w:rFonts w:ascii="Tahoma" w:hAnsi="Tahoma" w:cs="Tahoma"/>
          <w:sz w:val="24"/>
          <w:szCs w:val="24"/>
        </w:rPr>
        <w:t xml:space="preserve">godinu (pojedinačno po svrhama sa opisima konta, svrhama doznaka, primaocima, datumima odobrenja i datumima plaćanja, te ukupnim saldom) sa budžetske pozicije: Ministarstvo kulture; Program: Kulturna baština; Funkcionalna klasifikacija: 0820; Ekonomska klasifikacija: </w:t>
      </w:r>
      <w:r w:rsidR="007832EB">
        <w:rPr>
          <w:rFonts w:ascii="Tahoma" w:hAnsi="Tahoma" w:cs="Tahoma"/>
          <w:sz w:val="24"/>
          <w:szCs w:val="24"/>
        </w:rPr>
        <w:t>413</w:t>
      </w:r>
      <w:r w:rsidR="00A722F5">
        <w:rPr>
          <w:rFonts w:ascii="Tahoma" w:hAnsi="Tahoma" w:cs="Tahoma"/>
          <w:sz w:val="24"/>
          <w:szCs w:val="24"/>
        </w:rPr>
        <w:t>9; Opis: Ugovorene usluge;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4311; Opis: Transferi javnim institucijama;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4313; Opis: Transferi pojedincima;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4129; Opis: Ostale naknade; Svih rasho</w:t>
      </w:r>
      <w:r w:rsidR="007E632A">
        <w:rPr>
          <w:rFonts w:ascii="Tahoma" w:hAnsi="Tahoma" w:cs="Tahoma"/>
          <w:sz w:val="24"/>
          <w:szCs w:val="24"/>
        </w:rPr>
        <w:t>da realizovanih za čitavu 2012.</w:t>
      </w:r>
      <w:r w:rsidR="00A722F5">
        <w:rPr>
          <w:rFonts w:ascii="Tahoma" w:hAnsi="Tahoma" w:cs="Tahoma"/>
          <w:sz w:val="24"/>
          <w:szCs w:val="24"/>
        </w:rPr>
        <w:t xml:space="preserve">godinu (pojedinačno po svrhama sa opisima konta, svrhama doznaka, primaocima, datumima odobrenja i </w:t>
      </w:r>
      <w:r w:rsidR="00A722F5">
        <w:rPr>
          <w:rFonts w:ascii="Tahoma" w:hAnsi="Tahoma" w:cs="Tahoma"/>
          <w:sz w:val="24"/>
          <w:szCs w:val="24"/>
        </w:rPr>
        <w:lastRenderedPageBreak/>
        <w:t>datumima plaćanja, te ukupnim saldom) sa budžetske pozicije: Ministarstvo kulture; Program: Administracija; Funkcionalna klasifikacija: 0860; Ekonomska klasifikacija: 4139; Opis: Ugovorene usluge;</w:t>
      </w:r>
      <w:r w:rsidR="00A722F5" w:rsidRPr="00A722F5">
        <w:rPr>
          <w:rFonts w:ascii="Tahoma" w:hAnsi="Tahoma" w:cs="Tahoma"/>
          <w:sz w:val="24"/>
          <w:szCs w:val="24"/>
        </w:rPr>
        <w:t xml:space="preserve"> </w:t>
      </w:r>
      <w:r w:rsidR="00A722F5">
        <w:rPr>
          <w:rFonts w:ascii="Tahoma" w:hAnsi="Tahoma" w:cs="Tahoma"/>
          <w:sz w:val="24"/>
          <w:szCs w:val="24"/>
        </w:rPr>
        <w:t>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4215; Opis: Tuđa njega i pomoć;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4313; Opis: Transferi pojedincima; Svih rasho</w:t>
      </w:r>
      <w:r w:rsidR="007E632A">
        <w:rPr>
          <w:rFonts w:ascii="Tahoma" w:hAnsi="Tahoma" w:cs="Tahoma"/>
          <w:sz w:val="24"/>
          <w:szCs w:val="24"/>
        </w:rPr>
        <w:t>da realizovanih za čitavu 2012.</w:t>
      </w:r>
      <w:r w:rsidR="00A722F5">
        <w:rPr>
          <w:rFonts w:ascii="Tahoma" w:hAnsi="Tahoma" w:cs="Tahoma"/>
          <w:sz w:val="24"/>
          <w:szCs w:val="24"/>
        </w:rPr>
        <w:t>godinu (pojedinačno po svrhama sa opisima konta, svrhama doznaka, primaocima, datumima odobrenja i datumima plaćanja, te ukupnim saldom) sa budžetske pozicije: Ministarstvo kulture; Program: Javni radio-difuzni servisi Crne Gore; Funkcionalna klasifikacija: 0830; Ekonomska klasifikacija: 4139; Opis: Ugovorene usluge; Svih rasho</w:t>
      </w:r>
      <w:r w:rsidR="007E632A">
        <w:rPr>
          <w:rFonts w:ascii="Tahoma" w:hAnsi="Tahoma" w:cs="Tahoma"/>
          <w:sz w:val="24"/>
          <w:szCs w:val="24"/>
        </w:rPr>
        <w:t>da realizovanih za čitavu 2012.</w:t>
      </w:r>
      <w:r w:rsidR="00A722F5">
        <w:rPr>
          <w:rFonts w:ascii="Tahoma" w:hAnsi="Tahoma" w:cs="Tahoma"/>
          <w:sz w:val="24"/>
          <w:szCs w:val="24"/>
        </w:rPr>
        <w:t xml:space="preserve">godinu (pojedinačno po svrhama sa opisima konta, svrhama doznaka, primaocima, datumima odobrenja i datumima plaćanja, te ukupnim saldom) sa budžetske pozicije: Ministarstvo kulture; Program: </w:t>
      </w:r>
      <w:r w:rsidR="007832EB">
        <w:rPr>
          <w:rFonts w:ascii="Tahoma" w:hAnsi="Tahoma" w:cs="Tahoma"/>
          <w:sz w:val="24"/>
          <w:szCs w:val="24"/>
        </w:rPr>
        <w:t>Prenos radio-difuznog signala na teritoriji</w:t>
      </w:r>
      <w:r w:rsidR="00A722F5">
        <w:rPr>
          <w:rFonts w:ascii="Tahoma" w:hAnsi="Tahoma" w:cs="Tahoma"/>
          <w:sz w:val="24"/>
          <w:szCs w:val="24"/>
        </w:rPr>
        <w:t xml:space="preserve"> Crne Gore</w:t>
      </w:r>
      <w:r w:rsidR="007832EB">
        <w:rPr>
          <w:rFonts w:ascii="Tahoma" w:hAnsi="Tahoma" w:cs="Tahoma"/>
          <w:sz w:val="24"/>
          <w:szCs w:val="24"/>
        </w:rPr>
        <w:t xml:space="preserve"> preko radio difuznog predajnika</w:t>
      </w:r>
      <w:r w:rsidR="00A722F5">
        <w:rPr>
          <w:rFonts w:ascii="Tahoma" w:hAnsi="Tahoma" w:cs="Tahoma"/>
          <w:sz w:val="24"/>
          <w:szCs w:val="24"/>
        </w:rPr>
        <w:t>; Funkcionalna klasifikacija: 0830; Ekonomska klasifikacija: 4139; Opis: Ugovorene usluge;</w:t>
      </w:r>
      <w:r w:rsidR="007832EB">
        <w:rPr>
          <w:rFonts w:ascii="Tahoma" w:hAnsi="Tahoma" w:cs="Tahoma"/>
          <w:sz w:val="24"/>
          <w:szCs w:val="24"/>
        </w:rPr>
        <w:t xml:space="preserve"> Svih rashoda realizovanih za čitavu 2012. godinu (pojedinačno po svrhama sa opisima konta, svrhama doznaka, primaocima, datumima odobrenja i datumima plaćanja, te ukupnim saldom) sa budžetske pozicije: Ministarstvo kulture; Program: Razvoj kulture na sjeveru Crne Gore; Funkcionalna klasifikacija: 0850; Ekonomska klasifikacija: 4139; Opis: Ugovorene usluge,</w:t>
      </w:r>
      <w:r w:rsidR="00DB1C5E" w:rsidRPr="00DB1C5E">
        <w:t xml:space="preserve"> </w:t>
      </w:r>
      <w:r w:rsidR="00DB1C5E" w:rsidRPr="00DB1C5E">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7832EB">
        <w:rPr>
          <w:rFonts w:ascii="Tahoma" w:hAnsi="Tahoma" w:cs="Tahoma"/>
          <w:sz w:val="24"/>
          <w:szCs w:val="24"/>
        </w:rPr>
        <w:t xml:space="preserve"> </w:t>
      </w:r>
      <w:r w:rsidR="00A722F5">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sidR="001907E0">
        <w:rPr>
          <w:rFonts w:ascii="Tahoma" w:hAnsi="Tahoma" w:cs="Tahoma"/>
          <w:sz w:val="24"/>
          <w:szCs w:val="24"/>
          <w:lang w:val="sr-Latn-ME"/>
        </w:rPr>
        <w:t xml:space="preserve">ime troškovi postupka uplati </w:t>
      </w:r>
      <w:r w:rsidR="00E0178F">
        <w:rPr>
          <w:rFonts w:ascii="Tahoma" w:hAnsi="Tahoma" w:cs="Tahoma"/>
          <w:sz w:val="24"/>
          <w:szCs w:val="24"/>
          <w:lang w:val="sr-Latn-ME"/>
        </w:rPr>
        <w:t>5</w:t>
      </w:r>
      <w:r w:rsidR="001907E0">
        <w:rPr>
          <w:rFonts w:ascii="Tahoma" w:hAnsi="Tahoma" w:cs="Tahoma"/>
          <w:sz w:val="24"/>
          <w:szCs w:val="24"/>
          <w:lang w:val="sr-Latn-ME"/>
        </w:rPr>
        <w:t>,7</w:t>
      </w:r>
      <w:r w:rsidR="007832EB">
        <w:rPr>
          <w:rFonts w:ascii="Tahoma" w:hAnsi="Tahoma" w:cs="Tahoma"/>
          <w:sz w:val="24"/>
          <w:szCs w:val="24"/>
          <w:lang w:val="sr-Latn-ME"/>
        </w:rPr>
        <w:t>0</w:t>
      </w:r>
      <w:r w:rsidRPr="00A12D89">
        <w:rPr>
          <w:rFonts w:ascii="Tahoma" w:hAnsi="Tahoma" w:cs="Tahoma"/>
          <w:sz w:val="24"/>
          <w:szCs w:val="24"/>
          <w:lang w:val="sr-Latn-ME"/>
        </w:rPr>
        <w:t xml:space="preserve"> EUR u korist Budžeta Crne Gore  na žiro račun br.907-0000000083001-19 u roku od pet dana od dana prijema rješenja i dostavi dokaz o izvršenoj uplati </w:t>
      </w:r>
      <w:r>
        <w:rPr>
          <w:rFonts w:ascii="Tahoma" w:hAnsi="Tahoma" w:cs="Tahoma"/>
          <w:sz w:val="24"/>
          <w:szCs w:val="24"/>
          <w:lang w:val="sr-Latn-ME"/>
        </w:rPr>
        <w:t xml:space="preserve">Ministarstvu </w:t>
      </w:r>
      <w:r w:rsidR="00CD0CEE">
        <w:rPr>
          <w:rFonts w:ascii="Tahoma" w:hAnsi="Tahoma" w:cs="Tahoma"/>
          <w:sz w:val="24"/>
          <w:szCs w:val="24"/>
          <w:lang w:val="sr-Latn-ME"/>
        </w:rPr>
        <w:t>fina</w:t>
      </w:r>
      <w:r w:rsidR="00510C8E">
        <w:rPr>
          <w:rFonts w:ascii="Tahoma" w:hAnsi="Tahoma" w:cs="Tahoma"/>
          <w:sz w:val="24"/>
          <w:szCs w:val="24"/>
          <w:lang w:val="sr-Latn-ME"/>
        </w:rPr>
        <w:t>n</w:t>
      </w:r>
      <w:r w:rsidR="00CD0CEE">
        <w:rPr>
          <w:rFonts w:ascii="Tahoma" w:hAnsi="Tahoma" w:cs="Tahoma"/>
          <w:sz w:val="24"/>
          <w:szCs w:val="24"/>
          <w:lang w:val="sr-Latn-ME"/>
        </w:rPr>
        <w:t>sija</w:t>
      </w:r>
      <w:r>
        <w:rPr>
          <w:rFonts w:ascii="Tahoma" w:hAnsi="Tahoma" w:cs="Tahoma"/>
          <w:sz w:val="24"/>
          <w:szCs w:val="24"/>
          <w:lang w:val="sr-Latn-ME"/>
        </w:rPr>
        <w:t xml:space="preserve">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1907E0">
        <w:rPr>
          <w:rFonts w:ascii="Tahoma" w:hAnsi="Tahoma" w:cs="Tahoma"/>
          <w:sz w:val="24"/>
          <w:szCs w:val="24"/>
        </w:rPr>
        <w:t>56575-56592</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00066CDE">
        <w:rPr>
          <w:rFonts w:ascii="Tahoma" w:hAnsi="Tahoma" w:cs="Tahoma"/>
          <w:sz w:val="24"/>
          <w:szCs w:val="24"/>
        </w:rPr>
        <w:t>, u ukupnom iznosu od 476</w:t>
      </w:r>
      <w:proofErr w:type="gramStart"/>
      <w:r w:rsidR="00066CDE">
        <w:rPr>
          <w:rFonts w:ascii="Tahoma" w:hAnsi="Tahoma" w:cs="Tahoma"/>
          <w:sz w:val="24"/>
          <w:szCs w:val="24"/>
        </w:rPr>
        <w:t>,</w:t>
      </w:r>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lastRenderedPageBreak/>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180D11">
        <w:rPr>
          <w:rFonts w:ascii="Tahoma" w:hAnsi="Tahoma" w:cs="Tahoma"/>
          <w:sz w:val="24"/>
          <w:szCs w:val="24"/>
        </w:rPr>
        <w:t>5</w:t>
      </w:r>
      <w:r w:rsidR="001907E0">
        <w:rPr>
          <w:rFonts w:ascii="Tahoma" w:hAnsi="Tahoma" w:cs="Tahoma"/>
          <w:sz w:val="24"/>
          <w:szCs w:val="24"/>
        </w:rPr>
        <w:t>6575-56592</w:t>
      </w:r>
      <w:r w:rsidR="00066CDE">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1907E0" w:rsidRPr="001907E0">
        <w:rPr>
          <w:rFonts w:ascii="Tahoma" w:hAnsi="Tahoma" w:cs="Tahoma"/>
          <w:sz w:val="24"/>
          <w:szCs w:val="24"/>
        </w:rPr>
        <w:t xml:space="preserve"> </w:t>
      </w:r>
      <w:r w:rsidR="001907E0" w:rsidRPr="006668ED">
        <w:rPr>
          <w:rFonts w:ascii="Tahoma" w:hAnsi="Tahoma" w:cs="Tahoma"/>
          <w:sz w:val="24"/>
          <w:szCs w:val="24"/>
        </w:rPr>
        <w:t>13/</w:t>
      </w:r>
      <w:r w:rsidR="001907E0">
        <w:rPr>
          <w:rFonts w:ascii="Tahoma" w:hAnsi="Tahoma" w:cs="Tahoma"/>
          <w:sz w:val="24"/>
          <w:szCs w:val="24"/>
        </w:rPr>
        <w:t xml:space="preserve">56575-56592 </w:t>
      </w:r>
      <w:r w:rsidR="00D21C57" w:rsidRPr="006668ED">
        <w:rPr>
          <w:rFonts w:ascii="Tahoma" w:hAnsi="Tahoma" w:cs="Tahoma"/>
          <w:sz w:val="24"/>
          <w:szCs w:val="24"/>
        </w:rPr>
        <w:t>od 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24.10.2013.godine 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w:t>
      </w:r>
      <w:r w:rsidR="001907E0">
        <w:rPr>
          <w:rFonts w:ascii="Tahoma" w:hAnsi="Tahoma" w:cs="Tahoma"/>
          <w:sz w:val="24"/>
          <w:szCs w:val="24"/>
        </w:rPr>
        <w:t>j, štampanoj, video, zvučnoj, el</w:t>
      </w:r>
      <w:r w:rsidR="00695E87" w:rsidRPr="0027230F">
        <w:rPr>
          <w:rFonts w:ascii="Tahoma" w:hAnsi="Tahoma" w:cs="Tahoma"/>
          <w:sz w:val="24"/>
          <w:szCs w:val="24"/>
        </w:rPr>
        <w:t>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w:t>
      </w:r>
      <w:r w:rsidR="00695E87" w:rsidRPr="0027230F">
        <w:rPr>
          <w:rFonts w:ascii="Tahoma" w:hAnsi="Tahoma" w:cs="Tahoma"/>
          <w:sz w:val="24"/>
          <w:szCs w:val="24"/>
        </w:rPr>
        <w:lastRenderedPageBreak/>
        <w:t>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 xml:space="preserve">zahtjev, kao ni razloge koji bi upućivali na pravilnu primjenu materijalnog prava, što nedvosmisleno ukazuje na povredu pravila postupka i na nezakonitost osporenog </w:t>
      </w:r>
      <w:r w:rsidR="00695E87" w:rsidRPr="0027230F">
        <w:rPr>
          <w:rFonts w:ascii="Tahoma" w:hAnsi="Tahoma" w:cs="Tahoma"/>
          <w:sz w:val="24"/>
          <w:szCs w:val="24"/>
        </w:rPr>
        <w:lastRenderedPageBreak/>
        <w:t>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1907E0">
        <w:rPr>
          <w:rFonts w:ascii="Tahoma" w:hAnsi="Tahoma" w:cs="Tahoma"/>
          <w:sz w:val="24"/>
          <w:szCs w:val="24"/>
        </w:rPr>
        <w:t>ija broj: 08-5-299</w:t>
      </w:r>
      <w:r w:rsidR="0027230F">
        <w:rPr>
          <w:rFonts w:ascii="Tahoma" w:hAnsi="Tahoma" w:cs="Tahoma"/>
          <w:sz w:val="24"/>
          <w:szCs w:val="24"/>
        </w:rPr>
        <w:t>/2 od 26.05.2015.</w:t>
      </w:r>
      <w:r w:rsidR="0027230F" w:rsidRPr="0027230F">
        <w:rPr>
          <w:rFonts w:ascii="Tahoma" w:hAnsi="Tahoma" w:cs="Tahoma"/>
          <w:sz w:val="24"/>
          <w:szCs w:val="24"/>
        </w:rPr>
        <w:t>godine i naloži pristup traženim informacijama.</w:t>
      </w:r>
    </w:p>
    <w:p w:rsidR="00BC4807"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w:t>
      </w:r>
      <w:r w:rsidR="002D1B64">
        <w:rPr>
          <w:rFonts w:ascii="Tahoma" w:hAnsi="Tahoma" w:cs="Tahoma"/>
          <w:sz w:val="24"/>
          <w:szCs w:val="24"/>
        </w:rPr>
        <w:t>u</w:t>
      </w:r>
      <w:r w:rsidRPr="00BC4807">
        <w:rPr>
          <w:rFonts w:ascii="Tahoma" w:hAnsi="Tahoma" w:cs="Tahoma"/>
          <w:sz w:val="24"/>
          <w:szCs w:val="24"/>
        </w:rPr>
        <w:t xml:space="preserve"> informa</w:t>
      </w:r>
      <w:r w:rsidR="001907E0">
        <w:rPr>
          <w:rFonts w:ascii="Tahoma" w:hAnsi="Tahoma" w:cs="Tahoma"/>
          <w:sz w:val="24"/>
          <w:szCs w:val="24"/>
        </w:rPr>
        <w:t>cijama obratio zahtjevom br.5502</w:t>
      </w:r>
      <w:r w:rsidRPr="00BC4807">
        <w:rPr>
          <w:rFonts w:ascii="Tahoma" w:hAnsi="Tahoma" w:cs="Tahoma"/>
          <w:sz w:val="24"/>
          <w:szCs w:val="24"/>
        </w:rPr>
        <w:t xml:space="preserve">/15 od 23.09.2015.godine tražeći informaciju koja je predmet zahtjeva za slobodan pristup informacijama </w:t>
      </w:r>
      <w:r w:rsidR="001907E0" w:rsidRPr="006668ED">
        <w:rPr>
          <w:rFonts w:ascii="Tahoma" w:hAnsi="Tahoma" w:cs="Tahoma"/>
          <w:sz w:val="24"/>
          <w:szCs w:val="24"/>
        </w:rPr>
        <w:t>13/</w:t>
      </w:r>
      <w:r w:rsidR="001907E0">
        <w:rPr>
          <w:rFonts w:ascii="Tahoma" w:hAnsi="Tahoma" w:cs="Tahoma"/>
          <w:sz w:val="24"/>
          <w:szCs w:val="24"/>
        </w:rPr>
        <w:t xml:space="preserve">56575-56592 </w:t>
      </w:r>
      <w:r w:rsidRPr="00BC4807">
        <w:rPr>
          <w:rFonts w:ascii="Tahoma" w:hAnsi="Tahoma" w:cs="Tahoma"/>
          <w:sz w:val="24"/>
          <w:szCs w:val="24"/>
        </w:rPr>
        <w:t>te je uz dopis Ministarstva finansija br.011-1</w:t>
      </w:r>
      <w:r w:rsidR="002D1B64">
        <w:rPr>
          <w:rFonts w:ascii="Tahoma" w:hAnsi="Tahoma" w:cs="Tahoma"/>
          <w:sz w:val="24"/>
          <w:szCs w:val="24"/>
        </w:rPr>
        <w:t>81/15 od 21.12</w:t>
      </w:r>
      <w:r w:rsidRPr="00BC4807">
        <w:rPr>
          <w:rFonts w:ascii="Tahoma" w:hAnsi="Tahoma" w:cs="Tahoma"/>
          <w:sz w:val="24"/>
          <w:szCs w:val="24"/>
        </w:rPr>
        <w:t xml:space="preserve">.2015.godine dostavljen je i to: Program </w:t>
      </w:r>
      <w:r w:rsidR="002D1B64">
        <w:rPr>
          <w:rFonts w:ascii="Tahoma" w:hAnsi="Tahoma" w:cs="Tahoma"/>
          <w:sz w:val="24"/>
          <w:szCs w:val="24"/>
        </w:rPr>
        <w:t>Ministarstva kulture</w:t>
      </w:r>
      <w:r w:rsidRPr="00BC4807">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2C4F30">
        <w:rPr>
          <w:rFonts w:ascii="Tahoma" w:hAnsi="Tahoma" w:cs="Tahoma"/>
          <w:sz w:val="24"/>
          <w:szCs w:val="24"/>
        </w:rPr>
        <w:t>011-1</w:t>
      </w:r>
      <w:r w:rsidR="002D1B64">
        <w:rPr>
          <w:rFonts w:ascii="Tahoma" w:hAnsi="Tahoma" w:cs="Tahoma"/>
          <w:sz w:val="24"/>
          <w:szCs w:val="24"/>
        </w:rPr>
        <w:t>81</w:t>
      </w:r>
      <w:r w:rsidR="002C4F30">
        <w:rPr>
          <w:rFonts w:ascii="Tahoma" w:hAnsi="Tahoma" w:cs="Tahoma"/>
          <w:sz w:val="24"/>
          <w:szCs w:val="24"/>
        </w:rPr>
        <w:t>/15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w:t>
      </w:r>
      <w:r w:rsidR="002D4235" w:rsidRPr="00CC7375">
        <w:rPr>
          <w:rFonts w:ascii="Tahoma" w:hAnsi="Tahoma" w:cs="Tahoma"/>
          <w:sz w:val="24"/>
          <w:szCs w:val="24"/>
        </w:rPr>
        <w:lastRenderedPageBreak/>
        <w:t>strukturi, i ti podaci su sadržani u Zakonu o završnom ra</w:t>
      </w:r>
      <w:r w:rsidR="00066CDE">
        <w:rPr>
          <w:rFonts w:ascii="Tahoma" w:hAnsi="Tahoma" w:cs="Tahoma"/>
          <w:sz w:val="24"/>
          <w:szCs w:val="24"/>
        </w:rPr>
        <w:t>čunu Budžeta Crne Gore za 2012.</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7E632A">
        <w:rPr>
          <w:rFonts w:ascii="Tahoma" w:hAnsi="Tahoma" w:cs="Tahoma"/>
          <w:sz w:val="24"/>
          <w:szCs w:val="24"/>
        </w:rPr>
        <w:t>pa</w:t>
      </w:r>
      <w:r w:rsidR="00CC7375" w:rsidRPr="00CC7375">
        <w:rPr>
          <w:rFonts w:ascii="Tahoma" w:hAnsi="Tahoma" w:cs="Tahoma"/>
          <w:sz w:val="24"/>
          <w:szCs w:val="24"/>
        </w:rPr>
        <w:t xml:space="preserve"> s</w:t>
      </w:r>
      <w:r w:rsidR="007E632A">
        <w:rPr>
          <w:rFonts w:ascii="Tahoma" w:hAnsi="Tahoma" w:cs="Tahoma"/>
          <w:sz w:val="24"/>
          <w:szCs w:val="24"/>
        </w:rPr>
        <w:t xml:space="preserve"> </w:t>
      </w:r>
      <w:r w:rsidR="00CC7375" w:rsidRPr="00CC7375">
        <w:rPr>
          <w:rFonts w:ascii="Tahoma" w:hAnsi="Tahoma" w:cs="Tahoma"/>
          <w:sz w:val="24"/>
          <w:szCs w:val="24"/>
        </w:rPr>
        <w:t xml:space="preserve">toga </w:t>
      </w:r>
      <w:r w:rsidR="00CC7375">
        <w:rPr>
          <w:rFonts w:ascii="Tahoma" w:hAnsi="Tahoma" w:cs="Tahoma"/>
          <w:sz w:val="24"/>
          <w:szCs w:val="24"/>
        </w:rPr>
        <w:t>nije</w:t>
      </w:r>
      <w:r w:rsidR="007E632A">
        <w:rPr>
          <w:rFonts w:ascii="Tahoma" w:hAnsi="Tahoma" w:cs="Tahoma"/>
          <w:sz w:val="24"/>
          <w:szCs w:val="24"/>
        </w:rPr>
        <w:t xml:space="preserve"> u mogućnosti ni da ga dostavi</w:t>
      </w:r>
      <w:r w:rsidR="00CC7375" w:rsidRPr="00CC7375">
        <w:rPr>
          <w:rFonts w:ascii="Tahoma" w:hAnsi="Tahoma" w:cs="Tahoma"/>
          <w:sz w:val="24"/>
          <w:szCs w:val="24"/>
        </w:rPr>
        <w:t xml:space="preserve">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u  Program </w:t>
      </w:r>
      <w:r w:rsidR="002D1B64">
        <w:rPr>
          <w:rFonts w:ascii="Tahoma" w:hAnsi="Tahoma" w:cs="Tahoma"/>
          <w:sz w:val="24"/>
          <w:szCs w:val="24"/>
        </w:rPr>
        <w:t>Ministarstva kulture</w:t>
      </w:r>
      <w:r w:rsidR="007D3ECA">
        <w:rPr>
          <w:rFonts w:ascii="Tahoma" w:hAnsi="Tahoma" w:cs="Tahoma"/>
          <w:sz w:val="24"/>
          <w:szCs w:val="24"/>
        </w:rPr>
        <w:t xml:space="preserve"> dost</w:t>
      </w:r>
      <w:r w:rsidR="002D1B64">
        <w:rPr>
          <w:rFonts w:ascii="Tahoma" w:hAnsi="Tahoma" w:cs="Tahoma"/>
          <w:sz w:val="24"/>
          <w:szCs w:val="24"/>
        </w:rPr>
        <w:t>av</w:t>
      </w:r>
      <w:r w:rsidR="007D3ECA">
        <w:rPr>
          <w:rFonts w:ascii="Tahoma" w:hAnsi="Tahoma" w:cs="Tahoma"/>
          <w:sz w:val="24"/>
          <w:szCs w:val="24"/>
        </w:rPr>
        <w:t>ljenog uz akt br. 011-1</w:t>
      </w:r>
      <w:r w:rsidR="002D1B64">
        <w:rPr>
          <w:rFonts w:ascii="Tahoma" w:hAnsi="Tahoma" w:cs="Tahoma"/>
          <w:sz w:val="24"/>
          <w:szCs w:val="24"/>
        </w:rPr>
        <w:t>81</w:t>
      </w:r>
      <w:r w:rsidR="007D3ECA">
        <w:rPr>
          <w:rFonts w:ascii="Tahoma" w:hAnsi="Tahoma" w:cs="Tahoma"/>
          <w:sz w:val="24"/>
          <w:szCs w:val="24"/>
        </w:rPr>
        <w:t xml:space="preserve">/15 od 21.12.2015.godine  </w:t>
      </w:r>
      <w:r w:rsidRPr="00605441">
        <w:rPr>
          <w:rFonts w:ascii="Tahoma" w:hAnsi="Tahoma" w:cs="Tahoma"/>
          <w:sz w:val="24"/>
          <w:szCs w:val="24"/>
        </w:rPr>
        <w:t>Savjet Agencije nalazi da je žalba osnovana.</w:t>
      </w:r>
    </w:p>
    <w:p w:rsidR="00481203"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Pr>
          <w:rFonts w:ascii="Tahoma" w:hAnsi="Tahoma" w:cs="Tahoma"/>
          <w:bCs/>
          <w:color w:val="000000"/>
          <w:sz w:val="24"/>
          <w:szCs w:val="24"/>
        </w:rPr>
        <w:t>08-5-2</w:t>
      </w:r>
      <w:r w:rsidR="002D1B64">
        <w:rPr>
          <w:rFonts w:ascii="Tahoma" w:hAnsi="Tahoma" w:cs="Tahoma"/>
          <w:bCs/>
          <w:color w:val="000000"/>
          <w:sz w:val="24"/>
          <w:szCs w:val="24"/>
        </w:rPr>
        <w:t>99</w:t>
      </w:r>
      <w:r>
        <w:rPr>
          <w:rFonts w:ascii="Tahoma" w:hAnsi="Tahoma" w:cs="Tahoma"/>
          <w:bCs/>
          <w:color w:val="000000"/>
          <w:sz w:val="24"/>
          <w:szCs w:val="24"/>
        </w:rPr>
        <w:t xml:space="preserve">/2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7C6129">
        <w:rPr>
          <w:rFonts w:ascii="Tahoma" w:hAnsi="Tahoma" w:cs="Tahoma"/>
          <w:sz w:val="24"/>
          <w:szCs w:val="24"/>
        </w:rPr>
        <w:t xml:space="preserve">Savjet </w:t>
      </w:r>
      <w:proofErr w:type="gramStart"/>
      <w:r w:rsidR="007C6129">
        <w:rPr>
          <w:rFonts w:ascii="Tahoma" w:hAnsi="Tahoma" w:cs="Tahoma"/>
          <w:sz w:val="24"/>
          <w:szCs w:val="24"/>
        </w:rPr>
        <w:t xml:space="preserve">Agencije </w:t>
      </w:r>
      <w:r w:rsidR="00CB024A" w:rsidRPr="00CB024A">
        <w:rPr>
          <w:rFonts w:ascii="Tahoma" w:hAnsi="Tahoma" w:cs="Tahoma"/>
          <w:sz w:val="24"/>
          <w:szCs w:val="24"/>
        </w:rPr>
        <w:t xml:space="preserve"> utvrdio</w:t>
      </w:r>
      <w:proofErr w:type="gramEnd"/>
      <w:r w:rsidR="00CB024A" w:rsidRPr="00CB024A">
        <w:rPr>
          <w:rFonts w:ascii="Tahoma" w:hAnsi="Tahoma" w:cs="Tahoma"/>
          <w:sz w:val="24"/>
          <w:szCs w:val="24"/>
        </w:rPr>
        <w:t xml:space="preserve">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CB024A" w:rsidRPr="00CB024A">
        <w:rPr>
          <w:rFonts w:ascii="Tahoma" w:hAnsi="Tahoma" w:cs="Tahoma"/>
          <w:sz w:val="24"/>
          <w:szCs w:val="24"/>
        </w:rPr>
        <w:t>na</w:t>
      </w:r>
      <w:proofErr w:type="gramEnd"/>
      <w:r w:rsidR="00CB024A" w:rsidRPr="00CB024A">
        <w:rPr>
          <w:rFonts w:ascii="Tahoma" w:hAnsi="Tahoma" w:cs="Tahoma"/>
          <w:sz w:val="24"/>
          <w:szCs w:val="24"/>
        </w:rPr>
        <w:t xml:space="preserve">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CB024A" w:rsidRPr="00CB024A">
        <w:rPr>
          <w:rFonts w:ascii="Tahoma" w:hAnsi="Tahoma" w:cs="Tahoma"/>
          <w:sz w:val="24"/>
          <w:szCs w:val="24"/>
        </w:rPr>
        <w:t>od</w:t>
      </w:r>
      <w:proofErr w:type="gramEnd"/>
      <w:r w:rsidR="00CB024A" w:rsidRPr="00CB024A">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w:t>
      </w:r>
      <w:r w:rsidR="00CB024A" w:rsidRPr="00CB024A">
        <w:rPr>
          <w:rFonts w:ascii="Tahoma" w:hAnsi="Tahoma" w:cs="Tahoma"/>
          <w:sz w:val="24"/>
          <w:szCs w:val="24"/>
        </w:rPr>
        <w:lastRenderedPageBreak/>
        <w:t xml:space="preserve">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454091">
        <w:rPr>
          <w:rFonts w:ascii="Tahoma" w:hAnsi="Tahoma" w:cs="Tahoma"/>
          <w:sz w:val="24"/>
          <w:szCs w:val="24"/>
        </w:rPr>
        <w:t>Ministarstva kulture</w:t>
      </w:r>
      <w:r w:rsidR="00CB024A" w:rsidRPr="00CB024A">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w:t>
      </w:r>
      <w:proofErr w:type="gramStart"/>
      <w:r w:rsidR="00CB024A" w:rsidRPr="00CB024A">
        <w:rPr>
          <w:rFonts w:ascii="Tahoma" w:hAnsi="Tahoma" w:cs="Tahoma"/>
          <w:sz w:val="24"/>
          <w:szCs w:val="24"/>
        </w:rPr>
        <w:t>informacijama  prvostepeni</w:t>
      </w:r>
      <w:proofErr w:type="gramEnd"/>
      <w:r w:rsidR="00CB024A" w:rsidRPr="00CB024A">
        <w:rPr>
          <w:rFonts w:ascii="Tahoma" w:hAnsi="Tahoma" w:cs="Tahoma"/>
          <w:sz w:val="24"/>
          <w:szCs w:val="24"/>
        </w:rPr>
        <w:t xml:space="preserve">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CB024A" w:rsidRPr="00CB024A">
        <w:rPr>
          <w:rFonts w:ascii="Tahoma" w:hAnsi="Tahoma" w:cs="Tahoma"/>
          <w:sz w:val="24"/>
          <w:szCs w:val="24"/>
        </w:rPr>
        <w:t>na</w:t>
      </w:r>
      <w:proofErr w:type="gramEnd"/>
      <w:r w:rsidR="00CB024A" w:rsidRPr="00CB024A">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CB024A" w:rsidRPr="00CB024A">
        <w:rPr>
          <w:rFonts w:ascii="Tahoma" w:hAnsi="Tahoma" w:cs="Tahoma"/>
          <w:sz w:val="24"/>
          <w:szCs w:val="24"/>
        </w:rPr>
        <w:t>na</w:t>
      </w:r>
      <w:proofErr w:type="gramEnd"/>
      <w:r w:rsidR="00CB024A" w:rsidRPr="00CB024A">
        <w:rPr>
          <w:rFonts w:ascii="Tahoma" w:hAnsi="Tahoma" w:cs="Tahoma"/>
          <w:sz w:val="24"/>
          <w:szCs w:val="24"/>
        </w:rPr>
        <w:t xml:space="preserve"> način kojim se ne može uništiti ili oštetiti tekst, odnosno sadržina informacije. </w:t>
      </w:r>
      <w:proofErr w:type="gramStart"/>
      <w:r w:rsidR="00CB024A" w:rsidRPr="00CB024A">
        <w:rPr>
          <w:rFonts w:ascii="Tahoma" w:hAnsi="Tahoma" w:cs="Tahoma"/>
          <w:sz w:val="24"/>
          <w:szCs w:val="24"/>
        </w:rPr>
        <w:t>Naime ,</w:t>
      </w:r>
      <w:proofErr w:type="gramEnd"/>
      <w:r w:rsidR="00CB024A" w:rsidRPr="00CB024A">
        <w:rPr>
          <w:rFonts w:ascii="Tahoma" w:hAnsi="Tahoma" w:cs="Tahoma"/>
          <w:sz w:val="24"/>
          <w:szCs w:val="24"/>
        </w:rPr>
        <w:t xml:space="preserve"> članom 9 stav 1 tačka 1 Zakona o zaštiti podataka o ličnosti propisano je da su lični podaci sve informacije koje se odnose na fizičko lice </w:t>
      </w:r>
      <w:r w:rsidR="00CB024A" w:rsidRPr="00CB024A">
        <w:rPr>
          <w:rFonts w:ascii="Tahoma" w:hAnsi="Tahoma" w:cs="Tahoma"/>
          <w:sz w:val="24"/>
          <w:szCs w:val="24"/>
        </w:rPr>
        <w:lastRenderedPageBreak/>
        <w:t>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471FC4">
        <w:rPr>
          <w:rFonts w:ascii="Tahoma" w:hAnsi="Tahoma" w:cs="Tahoma"/>
          <w:sz w:val="24"/>
          <w:szCs w:val="24"/>
        </w:rPr>
        <w:t>Ministarstva kulture</w:t>
      </w:r>
      <w:r w:rsidR="00F15049">
        <w:rPr>
          <w:rFonts w:ascii="Tahoma" w:hAnsi="Tahoma" w:cs="Tahoma"/>
          <w:sz w:val="24"/>
          <w:szCs w:val="24"/>
        </w:rPr>
        <w:t xml:space="preserve"> koju je prvostepeni organ dostavio aktom br.01</w:t>
      </w:r>
      <w:r w:rsidR="00471FC4">
        <w:rPr>
          <w:rFonts w:ascii="Tahoma" w:hAnsi="Tahoma" w:cs="Tahoma"/>
          <w:sz w:val="24"/>
          <w:szCs w:val="24"/>
        </w:rPr>
        <w:t>1-181</w:t>
      </w:r>
      <w:r w:rsidR="00E711DE">
        <w:rPr>
          <w:rFonts w:ascii="Tahoma" w:hAnsi="Tahoma" w:cs="Tahoma"/>
          <w:sz w:val="24"/>
          <w:szCs w:val="24"/>
        </w:rPr>
        <w:t>/15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7E632A" w:rsidRDefault="00EC349F" w:rsidP="00C17147">
      <w:pPr>
        <w:jc w:val="both"/>
        <w:rPr>
          <w:rFonts w:ascii="Tahoma" w:hAnsi="Tahoma" w:cs="Tahoma"/>
          <w:sz w:val="24"/>
          <w:szCs w:val="24"/>
        </w:rPr>
      </w:pPr>
      <w:r>
        <w:rPr>
          <w:rFonts w:ascii="Tahoma" w:hAnsi="Tahoma" w:cs="Tahoma"/>
          <w:sz w:val="24"/>
          <w:szCs w:val="24"/>
        </w:rPr>
        <w:lastRenderedPageBreak/>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E23A39">
        <w:rPr>
          <w:rFonts w:ascii="Tahoma" w:hAnsi="Tahoma" w:cs="Tahoma"/>
          <w:sz w:val="24"/>
          <w:szCs w:val="24"/>
        </w:rPr>
        <w:t>br.</w:t>
      </w:r>
      <w:r w:rsidR="00155251">
        <w:rPr>
          <w:rFonts w:ascii="Tahoma" w:hAnsi="Tahoma" w:cs="Tahoma"/>
          <w:sz w:val="24"/>
          <w:szCs w:val="24"/>
        </w:rPr>
        <w:t>13/</w:t>
      </w:r>
      <w:r w:rsidR="00180D11">
        <w:rPr>
          <w:rFonts w:ascii="Tahoma" w:hAnsi="Tahoma" w:cs="Tahoma"/>
          <w:sz w:val="24"/>
          <w:szCs w:val="24"/>
        </w:rPr>
        <w:t>56</w:t>
      </w:r>
      <w:r w:rsidR="007E632A">
        <w:rPr>
          <w:rFonts w:ascii="Tahoma" w:hAnsi="Tahoma" w:cs="Tahoma"/>
          <w:sz w:val="24"/>
          <w:szCs w:val="24"/>
        </w:rPr>
        <w:t>575-56592</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i to kopiju:</w:t>
      </w:r>
      <w:r w:rsidR="007E632A">
        <w:rPr>
          <w:rFonts w:ascii="Tahoma" w:hAnsi="Tahoma" w:cs="Tahoma"/>
          <w:sz w:val="24"/>
          <w:szCs w:val="24"/>
        </w:rPr>
        <w:t xml:space="preserve"> Svih rashoda realizovanih za čitavu </w:t>
      </w:r>
      <w:r w:rsidR="00066CDE">
        <w:rPr>
          <w:rFonts w:ascii="Tahoma" w:hAnsi="Tahoma" w:cs="Tahoma"/>
          <w:sz w:val="24"/>
          <w:szCs w:val="24"/>
        </w:rPr>
        <w:t>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Kulturno umjetničko stvaralaštvo; Funkcionalna klasifikacija: 0830; Ekonomska klasifikacija: 4129;Opis: Ostale naknade;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Kulturno umjetničko stvaralaštvo; Funkcionalna klasifikacija: 0830; Ekonomska klasifikacija: 4139; Opis: Ugovorene usluge;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Kulturno umjetničko stvaralaštvo; Funkcionalna klasifikacija:0830; Ekonomska klasifikacija:4313; Opis:Transferi pojedincima;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Podrška razvoju medijskog pluralizma; Funkcionalna klasifikacija: 0830; Ekonomska klasifikacija: 4129; Opis: Ostale naknade;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Podrška razvoju medijskog pluralizma; Funkcionalna klasifikacija: 0820; Ekonomska klasifikacija: 4139; Opis: Ugovorene usluge;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Podrška razvoju medijskog pluralizma; Funkcionalna klasifikacija: 0820; Ekonomska klasifikacija: 4311; Opis: Transferi javnim institucijama;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Program:Podrška razvoju medijskog pluralizma; Funkcionalna klasifikacija: 0820; Ekonomska klasifikacija: 4313; Opis: Transferi pojedincima; Svih rasho</w:t>
      </w:r>
      <w:r w:rsidR="00066CDE">
        <w:rPr>
          <w:rFonts w:ascii="Tahoma" w:hAnsi="Tahoma" w:cs="Tahoma"/>
          <w:sz w:val="24"/>
          <w:szCs w:val="24"/>
        </w:rPr>
        <w:t>da realizovanih za čitavu 2012.</w:t>
      </w:r>
      <w:r w:rsidR="007E632A">
        <w:rPr>
          <w:rFonts w:ascii="Tahoma" w:hAnsi="Tahoma" w:cs="Tahoma"/>
          <w:sz w:val="24"/>
          <w:szCs w:val="24"/>
        </w:rPr>
        <w:t xml:space="preserve">godinu (pojedinačno po svrhama sa opisima konta, svrhama doznaka, primaocima, datumima odobrenja i datumima plaćanja, te ukupnim saldom) sa budžetske pozicije: Ministarstvo kulture; Program: Kulturna baština; Funkcionalna klasifikacija: 0820; Ekonomska klasifikacija: </w:t>
      </w:r>
      <w:r w:rsidR="007E632A">
        <w:rPr>
          <w:rFonts w:ascii="Tahoma" w:hAnsi="Tahoma" w:cs="Tahoma"/>
          <w:sz w:val="24"/>
          <w:szCs w:val="24"/>
        </w:rPr>
        <w:lastRenderedPageBreak/>
        <w:t>4129;Opis: Ostale naknade;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4139; Opis: Ugovorene usluge;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4311; Opis: Transferi javnim institucijama;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Kulturna baština; Funkcionalna klasifikacija: 0820; Ekonomska klasifikacija: 4313; Opis: Transferi pojedincima;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4129; Opis: Ostale naknade;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4139; Opis: Ugovorene usluge;</w:t>
      </w:r>
      <w:r w:rsidR="007E632A" w:rsidRPr="00A722F5">
        <w:rPr>
          <w:rFonts w:ascii="Tahoma" w:hAnsi="Tahoma" w:cs="Tahoma"/>
          <w:sz w:val="24"/>
          <w:szCs w:val="24"/>
        </w:rPr>
        <w:t xml:space="preserve"> </w:t>
      </w:r>
      <w:r w:rsidR="007E632A">
        <w:rPr>
          <w:rFonts w:ascii="Tahoma" w:hAnsi="Tahoma" w:cs="Tahoma"/>
          <w:sz w:val="24"/>
          <w:szCs w:val="24"/>
        </w:rPr>
        <w:t>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4215; Opis: Tuđa njega i pomoć;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Administracija; Funkcionalna klasifikacija: 0860; Ekonomska klasifikacija: 4313; Opis: Transferi pojedincima; Svih rasho</w:t>
      </w:r>
      <w:r w:rsidR="00066CDE">
        <w:rPr>
          <w:rFonts w:ascii="Tahoma" w:hAnsi="Tahoma" w:cs="Tahoma"/>
          <w:sz w:val="24"/>
          <w:szCs w:val="24"/>
        </w:rPr>
        <w:t>da realizovanih za čitavu 2012.</w:t>
      </w:r>
      <w:r w:rsidR="007E632A">
        <w:rPr>
          <w:rFonts w:ascii="Tahoma" w:hAnsi="Tahoma" w:cs="Tahoma"/>
          <w:sz w:val="24"/>
          <w:szCs w:val="24"/>
        </w:rPr>
        <w:t>godinu (pojedinačno po svrhama sa opisima konta, svrhama doznaka, primaocima, datumima odobrenja i datumima plaćanja, te ukupnim saldom) sa budžetske pozicije: Ministarstvo kulture; Program: Javni radio-difuzni servisi Crne Gore; Funkcionalna klasifikacija: 0830; Ekonomska klasifikacija: 4139; Opis: Ugovorene usluge; Svih rasho</w:t>
      </w:r>
      <w:r w:rsidR="00066CDE">
        <w:rPr>
          <w:rFonts w:ascii="Tahoma" w:hAnsi="Tahoma" w:cs="Tahoma"/>
          <w:sz w:val="24"/>
          <w:szCs w:val="24"/>
        </w:rPr>
        <w:t>da realizovanih za čitavu 2012.</w:t>
      </w:r>
      <w:r w:rsidR="007E632A">
        <w:rPr>
          <w:rFonts w:ascii="Tahoma" w:hAnsi="Tahoma" w:cs="Tahoma"/>
          <w:sz w:val="24"/>
          <w:szCs w:val="24"/>
        </w:rPr>
        <w:t xml:space="preserve">godinu (pojedinačno po svrhama sa opisima konta, svrhama doznaka, primaocima, datumima odobrenja i datumima plaćanja, te ukupnim saldom) sa budžetske pozicije: Ministarstvo kulture; Program: Prenos radio-difuznog signala na </w:t>
      </w:r>
      <w:r w:rsidR="007E632A">
        <w:rPr>
          <w:rFonts w:ascii="Tahoma" w:hAnsi="Tahoma" w:cs="Tahoma"/>
          <w:sz w:val="24"/>
          <w:szCs w:val="24"/>
        </w:rPr>
        <w:lastRenderedPageBreak/>
        <w:t xml:space="preserve">teritoriji Crne Gore preko radio difuznog predajnika; Funkcionalna klasifikacija: 0830; Ekonomska klasifikacija: 4139; Opis: Ugovorene usluge; Svih rashoda realizovanih za čitavu 2012. godinu (pojedinačno po svrhama sa opisima konta, svrhama doznaka, primaocima, datumima odobrenja i datumima plaćanja, te ukupnim saldom) sa budžetske pozicije: Ministarstvo kulture; Program: Razvoj kulture na sjeveru Crne Gore; Funkcionalna klasifikacija: 0850; Ekonomska klasifikacija: 4139; Opis: Ugovorene usluge </w:t>
      </w:r>
      <w:r w:rsidR="00865020" w:rsidRPr="00865020">
        <w:rPr>
          <w:rFonts w:ascii="Tahoma" w:hAnsi="Tahoma" w:cs="Tahoma"/>
          <w:sz w:val="24"/>
          <w:szCs w:val="24"/>
        </w:rPr>
        <w:t xml:space="preserve">uz zaštitu ličnih podataka lica čiji se podaci obradjuju čijim objavljivanjem bi se ugrozila privatnost lica na koja se odnose i to žiro računa fizičkih lica kod poslovnih banaka </w:t>
      </w:r>
      <w:r w:rsidR="00B51283" w:rsidRPr="00B51283">
        <w:rPr>
          <w:rFonts w:ascii="Tahoma" w:hAnsi="Tahoma" w:cs="Tahoma"/>
          <w:sz w:val="24"/>
          <w:szCs w:val="24"/>
        </w:rPr>
        <w:t xml:space="preserve">u roku od pet dana od dana kada je podnosilac zahtjeva dostavio dokaz o uplati troškova postupka Ministarstvu finansija Crne Gore.  </w:t>
      </w:r>
      <w:r w:rsidR="00C17147" w:rsidRPr="00C17147">
        <w:rPr>
          <w:rFonts w:ascii="Tahoma" w:hAnsi="Tahoma" w:cs="Tahoma"/>
          <w:sz w:val="24"/>
          <w:szCs w:val="24"/>
        </w:rPr>
        <w:t xml:space="preserve"> </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7936B6">
        <w:rPr>
          <w:rFonts w:ascii="Tahoma" w:hAnsi="Tahoma" w:cs="Tahoma"/>
          <w:sz w:val="24"/>
          <w:szCs w:val="24"/>
        </w:rPr>
        <w:t>5</w:t>
      </w:r>
      <w:r w:rsidR="00066CDE">
        <w:rPr>
          <w:rFonts w:ascii="Tahoma" w:hAnsi="Tahoma" w:cs="Tahoma"/>
          <w:sz w:val="24"/>
          <w:szCs w:val="24"/>
        </w:rPr>
        <w:t>7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066CDE">
        <w:rPr>
          <w:rFonts w:ascii="Tahoma" w:hAnsi="Tahoma" w:cs="Tahoma"/>
          <w:sz w:val="24"/>
          <w:szCs w:val="24"/>
        </w:rPr>
        <w:t xml:space="preserve">kova postupka u ukupnom iznosu </w:t>
      </w:r>
      <w:r w:rsidR="00A019AD">
        <w:rPr>
          <w:rFonts w:ascii="Tahoma" w:hAnsi="Tahoma" w:cs="Tahoma"/>
          <w:sz w:val="24"/>
          <w:szCs w:val="24"/>
        </w:rPr>
        <w:t>5</w:t>
      </w:r>
      <w:r>
        <w:rPr>
          <w:rFonts w:ascii="Tahoma" w:hAnsi="Tahoma" w:cs="Tahoma"/>
          <w:sz w:val="24"/>
          <w:szCs w:val="24"/>
        </w:rPr>
        <w:t>,</w:t>
      </w:r>
      <w:r w:rsidR="00066CDE">
        <w:rPr>
          <w:rFonts w:ascii="Tahoma" w:hAnsi="Tahoma" w:cs="Tahoma"/>
          <w:sz w:val="24"/>
          <w:szCs w:val="24"/>
        </w:rPr>
        <w:t>7</w:t>
      </w:r>
      <w:r>
        <w:rPr>
          <w:rFonts w:ascii="Tahoma" w:hAnsi="Tahoma" w:cs="Tahoma"/>
          <w:sz w:val="24"/>
          <w:szCs w:val="24"/>
        </w:rPr>
        <w:t xml:space="preserve">0 EUR i to na ime kopiranja </w:t>
      </w:r>
      <w:r w:rsidR="000057F8">
        <w:rPr>
          <w:rFonts w:ascii="Tahoma" w:hAnsi="Tahoma" w:cs="Tahoma"/>
          <w:sz w:val="24"/>
          <w:szCs w:val="24"/>
        </w:rPr>
        <w:t>5</w:t>
      </w:r>
      <w:r w:rsidR="00066CDE">
        <w:rPr>
          <w:rFonts w:ascii="Tahoma" w:hAnsi="Tahoma" w:cs="Tahoma"/>
          <w:sz w:val="24"/>
          <w:szCs w:val="24"/>
        </w:rPr>
        <w:t>7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066CDE" w:rsidRDefault="00066CDE"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CA332A">
        <w:rPr>
          <w:rFonts w:ascii="Tahoma" w:hAnsi="Tahoma" w:cs="Tahoma"/>
          <w:sz w:val="24"/>
          <w:szCs w:val="24"/>
        </w:rPr>
        <w:t>15/56575-56592</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755C45" w:rsidRPr="007C78A5" w:rsidRDefault="00F209C7" w:rsidP="00306A7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w:t>
      </w:r>
      <w:r w:rsidRPr="00807B90">
        <w:rPr>
          <w:rFonts w:ascii="Tahoma" w:hAnsi="Tahoma" w:cs="Tahoma"/>
          <w:sz w:val="24"/>
          <w:szCs w:val="24"/>
          <w:lang w:val="sr-Latn-CS"/>
        </w:rPr>
        <w:lastRenderedPageBreak/>
        <w:t xml:space="preserve">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0252CB" w:rsidRPr="00CB7AD5" w:rsidRDefault="000252CB" w:rsidP="000252CB">
      <w:pPr>
        <w:pStyle w:val="NoSpacing"/>
        <w:jc w:val="both"/>
        <w:rPr>
          <w:rFonts w:ascii="Tahoma" w:eastAsia="Times New Roman" w:hAnsi="Tahoma" w:cs="Tahoma"/>
          <w:b/>
          <w:sz w:val="20"/>
          <w:szCs w:val="20"/>
        </w:rPr>
      </w:pPr>
      <w:bookmarkStart w:id="0" w:name="_GoBack"/>
      <w:bookmarkEnd w:id="0"/>
    </w:p>
    <w:p w:rsidR="00306A70" w:rsidRPr="00CB7AD5" w:rsidRDefault="00306A70" w:rsidP="00306A70">
      <w:pPr>
        <w:rPr>
          <w:sz w:val="20"/>
          <w:szCs w:val="20"/>
        </w:rPr>
      </w:pPr>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4B" w:rsidRDefault="00785B4B" w:rsidP="004C7646">
      <w:pPr>
        <w:spacing w:after="0" w:line="240" w:lineRule="auto"/>
      </w:pPr>
      <w:r>
        <w:separator/>
      </w:r>
    </w:p>
  </w:endnote>
  <w:endnote w:type="continuationSeparator" w:id="0">
    <w:p w:rsidR="00785B4B" w:rsidRDefault="00785B4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785B4B"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85B4B" w:rsidP="00EA2993">
    <w:pPr>
      <w:pStyle w:val="Footer"/>
      <w:rPr>
        <w:b/>
        <w:sz w:val="16"/>
        <w:szCs w:val="16"/>
      </w:rPr>
    </w:pPr>
  </w:p>
  <w:p w:rsidR="0090753B" w:rsidRPr="00E62A90" w:rsidRDefault="00785B4B" w:rsidP="00E62A90">
    <w:pPr>
      <w:pStyle w:val="Footer"/>
      <w:shd w:val="clear" w:color="auto" w:fill="FF0000"/>
      <w:jc w:val="center"/>
      <w:rPr>
        <w:b/>
        <w:color w:val="FF0000"/>
        <w:sz w:val="2"/>
        <w:szCs w:val="2"/>
      </w:rPr>
    </w:pPr>
  </w:p>
  <w:p w:rsidR="0090753B" w:rsidRDefault="00785B4B"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785B4B" w:rsidP="00E03674">
    <w:pPr>
      <w:pStyle w:val="Footer"/>
      <w:jc w:val="center"/>
      <w:rPr>
        <w:sz w:val="16"/>
        <w:szCs w:val="16"/>
      </w:rPr>
    </w:pPr>
  </w:p>
  <w:p w:rsidR="0090753B" w:rsidRPr="002B6C39" w:rsidRDefault="00785B4B">
    <w:pPr>
      <w:pStyle w:val="Footer"/>
    </w:pPr>
  </w:p>
  <w:p w:rsidR="0090753B" w:rsidRDefault="00785B4B"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8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4B" w:rsidRDefault="00785B4B" w:rsidP="004C7646">
      <w:pPr>
        <w:spacing w:after="0" w:line="240" w:lineRule="auto"/>
      </w:pPr>
      <w:r>
        <w:separator/>
      </w:r>
    </w:p>
  </w:footnote>
  <w:footnote w:type="continuationSeparator" w:id="0">
    <w:p w:rsidR="00785B4B" w:rsidRDefault="00785B4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85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85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85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7F8"/>
    <w:rsid w:val="00006740"/>
    <w:rsid w:val="000125F9"/>
    <w:rsid w:val="000133DF"/>
    <w:rsid w:val="00016E10"/>
    <w:rsid w:val="000226BE"/>
    <w:rsid w:val="00023BC0"/>
    <w:rsid w:val="000252CB"/>
    <w:rsid w:val="00027122"/>
    <w:rsid w:val="00030651"/>
    <w:rsid w:val="00030728"/>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6CDE"/>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47C83"/>
    <w:rsid w:val="001530C3"/>
    <w:rsid w:val="00155251"/>
    <w:rsid w:val="00156D06"/>
    <w:rsid w:val="00161F2C"/>
    <w:rsid w:val="001632CB"/>
    <w:rsid w:val="0016367C"/>
    <w:rsid w:val="0016432B"/>
    <w:rsid w:val="00175405"/>
    <w:rsid w:val="00177D79"/>
    <w:rsid w:val="00180D11"/>
    <w:rsid w:val="001848A9"/>
    <w:rsid w:val="0018599A"/>
    <w:rsid w:val="001907E0"/>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4FC4"/>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B64"/>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318C"/>
    <w:rsid w:val="00445A51"/>
    <w:rsid w:val="00446471"/>
    <w:rsid w:val="00446821"/>
    <w:rsid w:val="004504DA"/>
    <w:rsid w:val="0045148B"/>
    <w:rsid w:val="004515BA"/>
    <w:rsid w:val="004524E6"/>
    <w:rsid w:val="00452A2B"/>
    <w:rsid w:val="00453129"/>
    <w:rsid w:val="00454091"/>
    <w:rsid w:val="00454978"/>
    <w:rsid w:val="00455F0A"/>
    <w:rsid w:val="00456080"/>
    <w:rsid w:val="004564AB"/>
    <w:rsid w:val="00457462"/>
    <w:rsid w:val="00464AF1"/>
    <w:rsid w:val="0046531E"/>
    <w:rsid w:val="00466D7F"/>
    <w:rsid w:val="00467BAB"/>
    <w:rsid w:val="00471DB1"/>
    <w:rsid w:val="00471FC4"/>
    <w:rsid w:val="0047441A"/>
    <w:rsid w:val="004752E2"/>
    <w:rsid w:val="00476B83"/>
    <w:rsid w:val="00477071"/>
    <w:rsid w:val="00477C66"/>
    <w:rsid w:val="00481203"/>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0C8E"/>
    <w:rsid w:val="005111BC"/>
    <w:rsid w:val="00511358"/>
    <w:rsid w:val="005161B3"/>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95E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11B"/>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55C45"/>
    <w:rsid w:val="0076216F"/>
    <w:rsid w:val="00764AC4"/>
    <w:rsid w:val="00772F4B"/>
    <w:rsid w:val="007751BD"/>
    <w:rsid w:val="00775713"/>
    <w:rsid w:val="007832EB"/>
    <w:rsid w:val="00785AE6"/>
    <w:rsid w:val="00785B4B"/>
    <w:rsid w:val="00791852"/>
    <w:rsid w:val="00791B69"/>
    <w:rsid w:val="00792A0E"/>
    <w:rsid w:val="0079335F"/>
    <w:rsid w:val="007936B6"/>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1794"/>
    <w:rsid w:val="007C4CEC"/>
    <w:rsid w:val="007C5499"/>
    <w:rsid w:val="007C6129"/>
    <w:rsid w:val="007C7604"/>
    <w:rsid w:val="007C78A5"/>
    <w:rsid w:val="007D0A74"/>
    <w:rsid w:val="007D1042"/>
    <w:rsid w:val="007D16B8"/>
    <w:rsid w:val="007D173E"/>
    <w:rsid w:val="007D3ECA"/>
    <w:rsid w:val="007D4D60"/>
    <w:rsid w:val="007D7B4F"/>
    <w:rsid w:val="007E1615"/>
    <w:rsid w:val="007E3E43"/>
    <w:rsid w:val="007E632A"/>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502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A6D0E"/>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029"/>
    <w:rsid w:val="009B21E0"/>
    <w:rsid w:val="009B2C46"/>
    <w:rsid w:val="009B5211"/>
    <w:rsid w:val="009C18BB"/>
    <w:rsid w:val="009C3E03"/>
    <w:rsid w:val="009C6749"/>
    <w:rsid w:val="009D2A37"/>
    <w:rsid w:val="009D3135"/>
    <w:rsid w:val="009D5C73"/>
    <w:rsid w:val="009D7367"/>
    <w:rsid w:val="009E4477"/>
    <w:rsid w:val="009F0951"/>
    <w:rsid w:val="009F130A"/>
    <w:rsid w:val="009F3141"/>
    <w:rsid w:val="009F3849"/>
    <w:rsid w:val="009F44D5"/>
    <w:rsid w:val="009F6AC7"/>
    <w:rsid w:val="00A013BB"/>
    <w:rsid w:val="00A0189A"/>
    <w:rsid w:val="00A019AD"/>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22F5"/>
    <w:rsid w:val="00A75425"/>
    <w:rsid w:val="00A761ED"/>
    <w:rsid w:val="00A76E7F"/>
    <w:rsid w:val="00A84476"/>
    <w:rsid w:val="00A84575"/>
    <w:rsid w:val="00A856D0"/>
    <w:rsid w:val="00A867C9"/>
    <w:rsid w:val="00A9063A"/>
    <w:rsid w:val="00A91D90"/>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332A"/>
    <w:rsid w:val="00CA7529"/>
    <w:rsid w:val="00CB024A"/>
    <w:rsid w:val="00CB1CEA"/>
    <w:rsid w:val="00CB3BB9"/>
    <w:rsid w:val="00CB3FB3"/>
    <w:rsid w:val="00CB4A99"/>
    <w:rsid w:val="00CB5481"/>
    <w:rsid w:val="00CB702B"/>
    <w:rsid w:val="00CB7AD5"/>
    <w:rsid w:val="00CC1F9A"/>
    <w:rsid w:val="00CC3B92"/>
    <w:rsid w:val="00CC6F08"/>
    <w:rsid w:val="00CC7375"/>
    <w:rsid w:val="00CD035F"/>
    <w:rsid w:val="00CD0CEE"/>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6E3E"/>
    <w:rsid w:val="00DA719C"/>
    <w:rsid w:val="00DB1C5E"/>
    <w:rsid w:val="00DB1F61"/>
    <w:rsid w:val="00DB6E42"/>
    <w:rsid w:val="00DB73E7"/>
    <w:rsid w:val="00DC03B2"/>
    <w:rsid w:val="00DC111B"/>
    <w:rsid w:val="00DC1F40"/>
    <w:rsid w:val="00DC6821"/>
    <w:rsid w:val="00DD52F3"/>
    <w:rsid w:val="00DD7C1D"/>
    <w:rsid w:val="00DE3BF7"/>
    <w:rsid w:val="00DE785B"/>
    <w:rsid w:val="00DE7A33"/>
    <w:rsid w:val="00DF13EC"/>
    <w:rsid w:val="00DF19A4"/>
    <w:rsid w:val="00DF1F27"/>
    <w:rsid w:val="00DF42B9"/>
    <w:rsid w:val="00DF62E4"/>
    <w:rsid w:val="00DF76F7"/>
    <w:rsid w:val="00DF7E8B"/>
    <w:rsid w:val="00E00B14"/>
    <w:rsid w:val="00E0178F"/>
    <w:rsid w:val="00E01E22"/>
    <w:rsid w:val="00E01F95"/>
    <w:rsid w:val="00E026E3"/>
    <w:rsid w:val="00E06020"/>
    <w:rsid w:val="00E06703"/>
    <w:rsid w:val="00E07051"/>
    <w:rsid w:val="00E073F0"/>
    <w:rsid w:val="00E116A2"/>
    <w:rsid w:val="00E11EB2"/>
    <w:rsid w:val="00E15B5D"/>
    <w:rsid w:val="00E23A39"/>
    <w:rsid w:val="00E33081"/>
    <w:rsid w:val="00E33AFB"/>
    <w:rsid w:val="00E34BAD"/>
    <w:rsid w:val="00E51B11"/>
    <w:rsid w:val="00E53418"/>
    <w:rsid w:val="00E53795"/>
    <w:rsid w:val="00E609A3"/>
    <w:rsid w:val="00E60DC7"/>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86083"/>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46A"/>
    <w:rsid w:val="00FA2A1A"/>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D9D4D-CDCD-426D-A162-5C251DE5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5357</Words>
  <Characters>30538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57</cp:revision>
  <cp:lastPrinted>2016-08-08T12:18:00Z</cp:lastPrinted>
  <dcterms:created xsi:type="dcterms:W3CDTF">2016-07-25T13:49:00Z</dcterms:created>
  <dcterms:modified xsi:type="dcterms:W3CDTF">2016-11-12T18:49:00Z</dcterms:modified>
</cp:coreProperties>
</file>