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78760D">
        <w:rPr>
          <w:rFonts w:ascii="Tahoma" w:hAnsi="Tahoma" w:cs="Tahoma"/>
          <w:b/>
          <w:sz w:val="24"/>
          <w:szCs w:val="24"/>
        </w:rPr>
        <w:t>11</w:t>
      </w:r>
      <w:r w:rsidR="008B5B2A">
        <w:rPr>
          <w:rFonts w:ascii="Tahoma" w:hAnsi="Tahoma" w:cs="Tahoma"/>
          <w:b/>
          <w:sz w:val="24"/>
          <w:szCs w:val="24"/>
        </w:rPr>
        <w:t>6</w:t>
      </w:r>
      <w:r w:rsidR="0053262D">
        <w:rPr>
          <w:rFonts w:ascii="Tahoma" w:hAnsi="Tahoma" w:cs="Tahoma"/>
          <w:b/>
          <w:sz w:val="24"/>
          <w:szCs w:val="24"/>
        </w:rPr>
        <w:t>1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53262D">
        <w:rPr>
          <w:rFonts w:ascii="Tahoma" w:hAnsi="Tahoma" w:cs="Tahoma"/>
          <w:sz w:val="24"/>
          <w:szCs w:val="24"/>
          <w:lang w:val="sr-Latn-CS"/>
        </w:rPr>
        <w:t>92132-92136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760D">
        <w:rPr>
          <w:rFonts w:ascii="Tahoma" w:hAnsi="Tahoma" w:cs="Tahoma"/>
          <w:sz w:val="24"/>
          <w:szCs w:val="24"/>
          <w:lang w:val="sr-Latn-CS"/>
        </w:rPr>
        <w:t>20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Elektroprivredi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53262D">
        <w:rPr>
          <w:rFonts w:ascii="Tahoma" w:hAnsi="Tahoma" w:cs="Tahoma"/>
          <w:sz w:val="24"/>
          <w:szCs w:val="24"/>
          <w:lang w:val="sr-Latn-CS"/>
        </w:rPr>
        <w:t>92132-92136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760D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53262D" w:rsidRDefault="009845A6" w:rsidP="0053262D">
      <w:pPr>
        <w:jc w:val="both"/>
        <w:rPr>
          <w:rFonts w:ascii="Tahoma" w:hAnsi="Tahoma" w:cs="Tahoma"/>
          <w:sz w:val="24"/>
          <w:szCs w:val="24"/>
        </w:rPr>
      </w:pPr>
      <w:r w:rsidRPr="0053262D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53262D">
        <w:rPr>
          <w:rFonts w:ascii="Tahoma" w:hAnsi="Tahoma" w:cs="Tahoma"/>
          <w:sz w:val="24"/>
          <w:szCs w:val="24"/>
        </w:rPr>
        <w:t xml:space="preserve"> rješenja</w:t>
      </w:r>
      <w:r w:rsidRPr="0053262D">
        <w:rPr>
          <w:rFonts w:ascii="Tahoma" w:hAnsi="Tahoma" w:cs="Tahoma"/>
          <w:sz w:val="24"/>
          <w:szCs w:val="24"/>
        </w:rPr>
        <w:t xml:space="preserve"> </w:t>
      </w:r>
      <w:r w:rsidR="00181411" w:rsidRPr="0053262D">
        <w:rPr>
          <w:rFonts w:ascii="Tahoma" w:hAnsi="Tahoma" w:cs="Tahoma"/>
          <w:sz w:val="24"/>
          <w:szCs w:val="24"/>
        </w:rPr>
        <w:t>Elektroprivrede Crne Gore AD</w:t>
      </w:r>
      <w:r w:rsidR="00C31858" w:rsidRPr="0053262D">
        <w:rPr>
          <w:rFonts w:ascii="Tahoma" w:hAnsi="Tahoma" w:cs="Tahoma"/>
          <w:sz w:val="24"/>
          <w:szCs w:val="24"/>
        </w:rPr>
        <w:t xml:space="preserve"> Nikšić</w:t>
      </w:r>
      <w:r w:rsidR="00BA096B" w:rsidRPr="0053262D">
        <w:rPr>
          <w:rFonts w:ascii="Tahoma" w:hAnsi="Tahoma" w:cs="Tahoma"/>
          <w:sz w:val="24"/>
          <w:szCs w:val="24"/>
        </w:rPr>
        <w:t>,</w:t>
      </w:r>
      <w:r w:rsidR="00EF0681" w:rsidRPr="0053262D">
        <w:rPr>
          <w:rFonts w:ascii="Tahoma" w:hAnsi="Tahoma" w:cs="Tahoma"/>
          <w:sz w:val="24"/>
          <w:szCs w:val="24"/>
        </w:rPr>
        <w:t xml:space="preserve"> </w:t>
      </w:r>
      <w:r w:rsidRPr="0053262D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53262D">
        <w:rPr>
          <w:rFonts w:ascii="Tahoma" w:hAnsi="Tahoma" w:cs="Tahoma"/>
          <w:sz w:val="24"/>
          <w:szCs w:val="24"/>
        </w:rPr>
        <w:t xml:space="preserve"> U žalb</w:t>
      </w:r>
      <w:r w:rsidR="000B0FA4" w:rsidRPr="0053262D">
        <w:rPr>
          <w:rFonts w:ascii="Tahoma" w:hAnsi="Tahoma" w:cs="Tahoma"/>
          <w:sz w:val="24"/>
          <w:szCs w:val="24"/>
        </w:rPr>
        <w:t xml:space="preserve">i </w:t>
      </w:r>
      <w:r w:rsidR="006F03D6" w:rsidRPr="0053262D">
        <w:rPr>
          <w:rFonts w:ascii="Tahoma" w:hAnsi="Tahoma" w:cs="Tahoma"/>
          <w:sz w:val="24"/>
          <w:szCs w:val="24"/>
        </w:rPr>
        <w:t xml:space="preserve">se navodi da su dana </w:t>
      </w:r>
      <w:r w:rsidR="00181411" w:rsidRPr="0053262D">
        <w:rPr>
          <w:rFonts w:ascii="Tahoma" w:hAnsi="Tahoma" w:cs="Tahoma"/>
          <w:sz w:val="24"/>
          <w:szCs w:val="24"/>
        </w:rPr>
        <w:t>15</w:t>
      </w:r>
      <w:r w:rsidR="004F774C" w:rsidRPr="0053262D">
        <w:rPr>
          <w:rFonts w:ascii="Tahoma" w:hAnsi="Tahoma" w:cs="Tahoma"/>
          <w:sz w:val="24"/>
          <w:szCs w:val="24"/>
        </w:rPr>
        <w:t>.</w:t>
      </w:r>
      <w:r w:rsidR="00FF2977" w:rsidRPr="0053262D">
        <w:rPr>
          <w:rFonts w:ascii="Tahoma" w:hAnsi="Tahoma" w:cs="Tahoma"/>
          <w:sz w:val="24"/>
          <w:szCs w:val="24"/>
        </w:rPr>
        <w:t>0</w:t>
      </w:r>
      <w:r w:rsidR="0078760D" w:rsidRPr="0053262D">
        <w:rPr>
          <w:rFonts w:ascii="Tahoma" w:hAnsi="Tahoma" w:cs="Tahoma"/>
          <w:sz w:val="24"/>
          <w:szCs w:val="24"/>
        </w:rPr>
        <w:t>6</w:t>
      </w:r>
      <w:r w:rsidR="00EB4106" w:rsidRPr="0053262D">
        <w:rPr>
          <w:rFonts w:ascii="Tahoma" w:hAnsi="Tahoma" w:cs="Tahoma"/>
          <w:sz w:val="24"/>
          <w:szCs w:val="24"/>
        </w:rPr>
        <w:t>.201</w:t>
      </w:r>
      <w:r w:rsidR="00FF2977" w:rsidRPr="0053262D">
        <w:rPr>
          <w:rFonts w:ascii="Tahoma" w:hAnsi="Tahoma" w:cs="Tahoma"/>
          <w:sz w:val="24"/>
          <w:szCs w:val="24"/>
        </w:rPr>
        <w:t>6.</w:t>
      </w:r>
      <w:r w:rsidRPr="0053262D">
        <w:rPr>
          <w:rFonts w:ascii="Tahoma" w:hAnsi="Tahoma" w:cs="Tahoma"/>
          <w:sz w:val="24"/>
          <w:szCs w:val="24"/>
        </w:rPr>
        <w:t>godine podnijeli zahtjev za pristup</w:t>
      </w:r>
      <w:r w:rsidR="0080598B" w:rsidRPr="0053262D">
        <w:rPr>
          <w:rFonts w:ascii="Tahoma" w:hAnsi="Tahoma" w:cs="Tahoma"/>
          <w:sz w:val="24"/>
          <w:szCs w:val="24"/>
        </w:rPr>
        <w:t xml:space="preserve"> informacijama</w:t>
      </w:r>
      <w:r w:rsidR="005C4271" w:rsidRPr="0053262D">
        <w:rPr>
          <w:rFonts w:ascii="Tahoma" w:hAnsi="Tahoma" w:cs="Tahoma"/>
          <w:sz w:val="24"/>
          <w:szCs w:val="24"/>
        </w:rPr>
        <w:t xml:space="preserve"> i to kopije</w:t>
      </w:r>
      <w:r w:rsidR="00D922E1" w:rsidRPr="0053262D">
        <w:rPr>
          <w:rFonts w:ascii="Tahoma" w:hAnsi="Tahoma" w:cs="Tahoma"/>
          <w:sz w:val="24"/>
          <w:szCs w:val="24"/>
        </w:rPr>
        <w:t>:</w:t>
      </w:r>
      <w:r w:rsidR="003D67E5" w:rsidRPr="0053262D">
        <w:rPr>
          <w:rFonts w:ascii="Tahoma" w:hAnsi="Tahoma" w:cs="Tahoma"/>
          <w:sz w:val="24"/>
          <w:szCs w:val="24"/>
        </w:rPr>
        <w:t xml:space="preserve"> </w:t>
      </w:r>
      <w:r w:rsidR="0053262D" w:rsidRPr="0053262D">
        <w:rPr>
          <w:rFonts w:ascii="Tahoma" w:hAnsi="Tahoma" w:cs="Tahoma"/>
          <w:sz w:val="24"/>
          <w:szCs w:val="24"/>
        </w:rPr>
        <w:t>poziva za pregovarački postupak bez prethodnog objavljivanja poziva za javno nadmetanje broj 190/14 od dana 27. novembra 2014. godine, zatim odluke o izboru najpovoljnije ponude od dana 18. decembra 2014. g</w:t>
      </w:r>
      <w:r w:rsidR="005C7B9A">
        <w:rPr>
          <w:rFonts w:ascii="Tahoma" w:hAnsi="Tahoma" w:cs="Tahoma"/>
          <w:sz w:val="24"/>
          <w:szCs w:val="24"/>
        </w:rPr>
        <w:t>odine i specifikacije naručioca,</w:t>
      </w:r>
      <w:r w:rsidR="0053262D" w:rsidRPr="0053262D">
        <w:rPr>
          <w:rFonts w:ascii="Tahoma" w:hAnsi="Tahoma" w:cs="Tahoma"/>
          <w:sz w:val="24"/>
          <w:szCs w:val="24"/>
        </w:rPr>
        <w:t xml:space="preserve"> svih isplata koje je Elektroprivreda Crne Gore AD Nikšić izvršila prema konzorcijumu KPMG doo Podgorica i KPMG doo Beograd u vezi Ugovora za pružanje usluga od</w:t>
      </w:r>
      <w:r w:rsidR="005C7B9A">
        <w:rPr>
          <w:rFonts w:ascii="Tahoma" w:hAnsi="Tahoma" w:cs="Tahoma"/>
          <w:sz w:val="24"/>
          <w:szCs w:val="24"/>
        </w:rPr>
        <w:t xml:space="preserve"> dana 29. decembra 2014. godine,</w:t>
      </w:r>
      <w:r w:rsidR="0053262D" w:rsidRPr="0053262D">
        <w:rPr>
          <w:rFonts w:ascii="Tahoma" w:hAnsi="Tahoma" w:cs="Tahoma"/>
          <w:sz w:val="24"/>
          <w:szCs w:val="24"/>
        </w:rPr>
        <w:t xml:space="preserve"> konačnog izvještaja o procjeni vrijednosti nekretnina, postrojenja i ključne opreme, koji je urađen u elektronskoj formi, a koji je uradio konzorcijumu KPMG doo Podgorica i KPMG doo Beograd u vezi Ugovora za pružanje usluga od</w:t>
      </w:r>
      <w:r w:rsidR="005C7B9A">
        <w:rPr>
          <w:rFonts w:ascii="Tahoma" w:hAnsi="Tahoma" w:cs="Tahoma"/>
          <w:sz w:val="24"/>
          <w:szCs w:val="24"/>
        </w:rPr>
        <w:t xml:space="preserve"> dana 29. decembra 2014. godine,</w:t>
      </w:r>
      <w:r w:rsidR="0053262D" w:rsidRPr="0053262D">
        <w:rPr>
          <w:rFonts w:ascii="Tahoma" w:hAnsi="Tahoma" w:cs="Tahoma"/>
          <w:sz w:val="24"/>
          <w:szCs w:val="24"/>
        </w:rPr>
        <w:t xml:space="preserve"> svih faktura koje su dostavljene Elektroprivredi Crne Gore AD Nikšić po osnovu Ugovora o pružanju </w:t>
      </w:r>
      <w:r w:rsidR="0053262D" w:rsidRPr="0053262D">
        <w:rPr>
          <w:rFonts w:ascii="Tahoma" w:hAnsi="Tahoma" w:cs="Tahoma"/>
          <w:sz w:val="24"/>
          <w:szCs w:val="24"/>
        </w:rPr>
        <w:lastRenderedPageBreak/>
        <w:t>usluga čišćenja i održavanja higijene u poslovnoj zgradi FC Snabdijevanje i jedinicama snabdijevanja za period od 12 mjeseci, a koji je zaključen sa firmom "Čisto" i zaveden u EPCG 25. januara 2010. godine i svih isplata koje je izvršila Elektroprivreda Crne Gore AD Nikšić po osnovu Ugovora o pružanju usluga čišćenja i održavanja higijene u poslovnoj zgradi FC Snabdijevanje i jedinicama snabdijevanja za period od 12 mjeseci, a koji je zaključen sa firmom "Čisto" i zaveden u EPCG 25. januara 2010. godine</w:t>
      </w:r>
      <w:r w:rsidR="00E56FCD" w:rsidRPr="0053262D">
        <w:rPr>
          <w:rFonts w:ascii="Tahoma" w:hAnsi="Tahoma" w:cs="Tahoma"/>
          <w:sz w:val="24"/>
          <w:szCs w:val="24"/>
        </w:rPr>
        <w:t>.</w:t>
      </w:r>
      <w:r w:rsidR="00403421" w:rsidRPr="0053262D">
        <w:rPr>
          <w:rFonts w:ascii="Tahoma" w:hAnsi="Tahoma" w:cs="Tahoma"/>
          <w:sz w:val="24"/>
          <w:szCs w:val="24"/>
        </w:rPr>
        <w:t xml:space="preserve"> </w:t>
      </w:r>
      <w:r w:rsidR="007B2B30" w:rsidRPr="0053262D">
        <w:rPr>
          <w:rFonts w:ascii="Tahoma" w:hAnsi="Tahoma" w:cs="Tahoma"/>
          <w:sz w:val="24"/>
          <w:szCs w:val="24"/>
        </w:rPr>
        <w:t xml:space="preserve">Predloženo je da </w:t>
      </w:r>
      <w:r w:rsidR="00CB6625" w:rsidRPr="0053262D">
        <w:rPr>
          <w:rFonts w:ascii="Tahoma" w:hAnsi="Tahoma" w:cs="Tahoma"/>
          <w:sz w:val="24"/>
          <w:szCs w:val="24"/>
        </w:rPr>
        <w:t>Savjet Agencije</w:t>
      </w:r>
      <w:r w:rsidR="007B2B30" w:rsidRPr="0053262D">
        <w:rPr>
          <w:rFonts w:ascii="Tahoma" w:hAnsi="Tahoma" w:cs="Tahoma"/>
          <w:sz w:val="24"/>
          <w:szCs w:val="24"/>
        </w:rPr>
        <w:t xml:space="preserve"> sprovede postupak i naloži donošenje rješenja po zahtjevu za slobodan pristup informacijama.</w:t>
      </w:r>
    </w:p>
    <w:p w:rsidR="009845A6" w:rsidRPr="0053262D" w:rsidRDefault="009845A6" w:rsidP="0053262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53262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C7B9A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8760D">
        <w:rPr>
          <w:rFonts w:ascii="Tahoma" w:hAnsi="Tahoma" w:cs="Tahoma"/>
          <w:sz w:val="24"/>
          <w:szCs w:val="24"/>
          <w:lang w:val="sr-Latn-CS"/>
        </w:rPr>
        <w:t>449</w:t>
      </w:r>
      <w:r w:rsidR="0053262D">
        <w:rPr>
          <w:rFonts w:ascii="Tahoma" w:hAnsi="Tahoma" w:cs="Tahoma"/>
          <w:sz w:val="24"/>
          <w:szCs w:val="24"/>
          <w:lang w:val="sr-Latn-CS"/>
        </w:rPr>
        <w:t>5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53262D">
        <w:rPr>
          <w:rFonts w:ascii="Tahoma" w:hAnsi="Tahoma" w:cs="Tahoma"/>
          <w:sz w:val="24"/>
          <w:szCs w:val="24"/>
          <w:lang w:val="sr-Latn-CS"/>
        </w:rPr>
        <w:t>92132-92136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7101">
        <w:rPr>
          <w:rFonts w:ascii="Tahoma" w:hAnsi="Tahoma" w:cs="Tahoma"/>
          <w:sz w:val="24"/>
          <w:szCs w:val="24"/>
          <w:lang w:val="sr-Latn-CS"/>
        </w:rPr>
        <w:t>1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007548" w:rsidRDefault="00007548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0977B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07548" w:rsidRDefault="0000754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0977BE" w:rsidRPr="006860B7" w:rsidRDefault="000977B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977B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5D" w:rsidRDefault="0038705D" w:rsidP="00CB7F9A">
      <w:pPr>
        <w:spacing w:after="0" w:line="240" w:lineRule="auto"/>
      </w:pPr>
      <w:r>
        <w:separator/>
      </w:r>
    </w:p>
  </w:endnote>
  <w:endnote w:type="continuationSeparator" w:id="0">
    <w:p w:rsidR="0038705D" w:rsidRDefault="0038705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5D" w:rsidRDefault="0038705D" w:rsidP="00CB7F9A">
      <w:pPr>
        <w:spacing w:after="0" w:line="240" w:lineRule="auto"/>
      </w:pPr>
      <w:r>
        <w:separator/>
      </w:r>
    </w:p>
  </w:footnote>
  <w:footnote w:type="continuationSeparator" w:id="0">
    <w:p w:rsidR="0038705D" w:rsidRDefault="0038705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7934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7BE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8A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05D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7D3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62D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DF6"/>
    <w:rsid w:val="005C3E58"/>
    <w:rsid w:val="005C4077"/>
    <w:rsid w:val="005C4271"/>
    <w:rsid w:val="005C4DC9"/>
    <w:rsid w:val="005C4E91"/>
    <w:rsid w:val="005C5A01"/>
    <w:rsid w:val="005C71D3"/>
    <w:rsid w:val="005C7B9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5B2A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127E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FA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8C8F5-A720-43F7-B544-6E62A167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2016-11-12T18:39:00Z</dcterms:modified>
</cp:coreProperties>
</file>